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38044" w14:textId="77777777" w:rsidR="002D5386" w:rsidRPr="00E71960" w:rsidRDefault="002D5386" w:rsidP="002D5386">
      <w:pPr>
        <w:spacing w:line="240" w:lineRule="auto"/>
        <w:rPr>
          <w:rFonts w:ascii="GoudyOldSty" w:hAnsi="GoudyOldSty"/>
          <w:b/>
          <w:color w:val="000000" w:themeColor="text1"/>
          <w:sz w:val="20"/>
          <w:szCs w:val="20"/>
        </w:rPr>
      </w:pPr>
      <w:bookmarkStart w:id="0" w:name="_Hlk122285101"/>
      <w:r w:rsidRPr="00E71960">
        <w:rPr>
          <w:rFonts w:ascii="GoudyOldSty" w:hAnsi="GoudyOldSty"/>
          <w:b/>
          <w:color w:val="000000" w:themeColor="text1"/>
          <w:spacing w:val="40"/>
          <w:sz w:val="56"/>
          <w:szCs w:val="144"/>
        </w:rPr>
        <w:t>NEWS</w:t>
      </w:r>
    </w:p>
    <w:p w14:paraId="348C97E1" w14:textId="77777777" w:rsidR="002D5386" w:rsidRDefault="002D5386" w:rsidP="002D53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240" w:lineRule="auto"/>
        <w:rPr>
          <w:rFonts w:ascii="Times New Roman" w:hAnsi="Times New Roman" w:cs="Times New Roman"/>
          <w:color w:val="000000"/>
          <w:sz w:val="24"/>
          <w:szCs w:val="24"/>
          <w:u w:val="single"/>
        </w:rPr>
      </w:pPr>
    </w:p>
    <w:p w14:paraId="10AB7127" w14:textId="6BA7C5B3" w:rsidR="002D5386" w:rsidRPr="00800B9A" w:rsidRDefault="002D5386" w:rsidP="002D53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240" w:lineRule="auto"/>
        <w:rPr>
          <w:rFonts w:ascii="Times New Roman" w:hAnsi="Times New Roman" w:cs="Times New Roman"/>
          <w:color w:val="000000"/>
          <w:sz w:val="24"/>
          <w:szCs w:val="24"/>
        </w:rPr>
      </w:pPr>
      <w:r w:rsidRPr="00800B9A">
        <w:rPr>
          <w:rFonts w:ascii="Times New Roman" w:hAnsi="Times New Roman" w:cs="Times New Roman"/>
          <w:color w:val="000000"/>
          <w:sz w:val="24"/>
          <w:szCs w:val="24"/>
          <w:u w:val="single"/>
        </w:rPr>
        <w:t>FOR IMMEDIATE RELEASE</w:t>
      </w:r>
      <w:r w:rsidRPr="00800B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July 26, 2023</w:t>
      </w:r>
    </w:p>
    <w:p w14:paraId="1C20938D" w14:textId="77777777" w:rsidR="002D5386" w:rsidRPr="00800B9A" w:rsidRDefault="002D5386" w:rsidP="002D53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240" w:lineRule="auto"/>
        <w:rPr>
          <w:rFonts w:ascii="Times New Roman" w:hAnsi="Times New Roman" w:cs="Times New Roman"/>
          <w:color w:val="000000"/>
          <w:sz w:val="24"/>
          <w:szCs w:val="24"/>
        </w:rPr>
      </w:pPr>
      <w:r w:rsidRPr="00800B9A">
        <w:rPr>
          <w:rFonts w:ascii="Times New Roman" w:hAnsi="Times New Roman" w:cs="Times New Roman"/>
          <w:color w:val="000000"/>
          <w:sz w:val="24"/>
          <w:szCs w:val="24"/>
        </w:rPr>
        <w:t xml:space="preserve">Contact: </w:t>
      </w:r>
      <w:r>
        <w:rPr>
          <w:rFonts w:ascii="Times New Roman" w:hAnsi="Times New Roman" w:cs="Times New Roman"/>
          <w:color w:val="000000"/>
          <w:sz w:val="24"/>
          <w:szCs w:val="24"/>
        </w:rPr>
        <w:t>Misti Pequignot</w:t>
      </w:r>
      <w:r w:rsidRPr="00800B9A">
        <w:rPr>
          <w:rFonts w:ascii="Times New Roman" w:hAnsi="Times New Roman" w:cs="Times New Roman"/>
          <w:color w:val="000000"/>
          <w:sz w:val="24"/>
          <w:szCs w:val="24"/>
        </w:rPr>
        <w:t xml:space="preserve">, Weakley County Long Term Recovery Group </w:t>
      </w:r>
      <w:r>
        <w:rPr>
          <w:rFonts w:ascii="Times New Roman" w:hAnsi="Times New Roman" w:cs="Times New Roman"/>
          <w:color w:val="000000"/>
          <w:sz w:val="24"/>
          <w:szCs w:val="24"/>
        </w:rPr>
        <w:t>Program Coordinator</w:t>
      </w:r>
    </w:p>
    <w:p w14:paraId="28C94C69" w14:textId="77777777" w:rsidR="002D5386" w:rsidRPr="00800B9A" w:rsidRDefault="002D5386" w:rsidP="002D53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240" w:lineRule="auto"/>
        <w:rPr>
          <w:rFonts w:ascii="Times New Roman" w:hAnsi="Times New Roman" w:cs="Times New Roman"/>
          <w:color w:val="000000"/>
          <w:sz w:val="24"/>
          <w:szCs w:val="24"/>
        </w:rPr>
      </w:pPr>
    </w:p>
    <w:p w14:paraId="4D8516DC" w14:textId="77777777" w:rsidR="002D5386" w:rsidRPr="00800B9A" w:rsidRDefault="002D5386" w:rsidP="002D53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WEAKLEY COUNTY LONG TERM RECOVERY GROUP UPDATE </w:t>
      </w:r>
    </w:p>
    <w:p w14:paraId="05CAD10A" w14:textId="77777777" w:rsidR="002D5386" w:rsidRPr="00800B9A" w:rsidRDefault="002D5386" w:rsidP="002D5386">
      <w:pPr>
        <w:pStyle w:val="paragraph"/>
        <w:spacing w:before="0" w:beforeAutospacing="0" w:after="0" w:afterAutospacing="0"/>
        <w:ind w:firstLine="720"/>
        <w:textAlignment w:val="baseline"/>
      </w:pPr>
    </w:p>
    <w:p w14:paraId="72FE1259" w14:textId="4750E06C" w:rsidR="00696C60" w:rsidRDefault="002D5386" w:rsidP="002D5386">
      <w:pPr>
        <w:spacing w:after="0" w:line="480" w:lineRule="auto"/>
        <w:rPr>
          <w:rFonts w:ascii="Times New Roman" w:hAnsi="Times New Roman" w:cs="Times New Roman"/>
          <w:color w:val="000000" w:themeColor="text1"/>
          <w:sz w:val="24"/>
          <w:szCs w:val="24"/>
        </w:rPr>
      </w:pPr>
      <w:r w:rsidRPr="00800B9A">
        <w:rPr>
          <w:rFonts w:ascii="Times New Roman" w:hAnsi="Times New Roman" w:cs="Times New Roman"/>
          <w:color w:val="000000" w:themeColor="text1"/>
          <w:sz w:val="24"/>
          <w:szCs w:val="24"/>
        </w:rPr>
        <w:t xml:space="preserve">DRESDEN, Tenn. – </w:t>
      </w:r>
      <w:r w:rsidRPr="002D5386">
        <w:rPr>
          <w:rFonts w:ascii="Times New Roman" w:hAnsi="Times New Roman" w:cs="Times New Roman"/>
          <w:color w:val="000000" w:themeColor="text1"/>
          <w:sz w:val="24"/>
          <w:szCs w:val="24"/>
        </w:rPr>
        <w:t xml:space="preserve">The American Red Cross </w:t>
      </w:r>
      <w:r>
        <w:rPr>
          <w:rFonts w:ascii="Times New Roman" w:hAnsi="Times New Roman" w:cs="Times New Roman"/>
          <w:color w:val="000000" w:themeColor="text1"/>
          <w:sz w:val="24"/>
          <w:szCs w:val="24"/>
        </w:rPr>
        <w:t>has announced</w:t>
      </w:r>
      <w:r w:rsidRPr="002D5386">
        <w:rPr>
          <w:rFonts w:ascii="Times New Roman" w:hAnsi="Times New Roman" w:cs="Times New Roman"/>
          <w:color w:val="000000" w:themeColor="text1"/>
          <w:sz w:val="24"/>
          <w:szCs w:val="24"/>
        </w:rPr>
        <w:t xml:space="preserve"> a third phase of financial assistance</w:t>
      </w:r>
      <w:r w:rsidR="00C36B1C">
        <w:rPr>
          <w:rFonts w:ascii="Times New Roman" w:hAnsi="Times New Roman" w:cs="Times New Roman"/>
          <w:color w:val="000000" w:themeColor="text1"/>
          <w:sz w:val="24"/>
          <w:szCs w:val="24"/>
        </w:rPr>
        <w:t xml:space="preserve"> </w:t>
      </w:r>
      <w:r w:rsidRPr="002D5386">
        <w:rPr>
          <w:rFonts w:ascii="Times New Roman" w:hAnsi="Times New Roman" w:cs="Times New Roman"/>
          <w:color w:val="000000" w:themeColor="text1"/>
          <w:sz w:val="24"/>
          <w:szCs w:val="24"/>
        </w:rPr>
        <w:t>to</w:t>
      </w:r>
      <w:r w:rsidR="00C36B1C">
        <w:rPr>
          <w:rFonts w:ascii="Times New Roman" w:hAnsi="Times New Roman" w:cs="Times New Roman"/>
          <w:color w:val="000000" w:themeColor="text1"/>
          <w:sz w:val="24"/>
          <w:szCs w:val="24"/>
        </w:rPr>
        <w:t xml:space="preserve"> </w:t>
      </w:r>
      <w:r w:rsidR="00C36B1C" w:rsidRPr="00C36B1C">
        <w:rPr>
          <w:rFonts w:ascii="Times New Roman" w:hAnsi="Times New Roman" w:cs="Times New Roman"/>
          <w:color w:val="000000" w:themeColor="text1"/>
          <w:sz w:val="24"/>
          <w:szCs w:val="24"/>
        </w:rPr>
        <w:t xml:space="preserve">individuals and households impacted by the December 2021 </w:t>
      </w:r>
      <w:r w:rsidR="0028069B">
        <w:rPr>
          <w:rFonts w:ascii="Times New Roman" w:hAnsi="Times New Roman" w:cs="Times New Roman"/>
          <w:color w:val="000000" w:themeColor="text1"/>
          <w:sz w:val="24"/>
          <w:szCs w:val="24"/>
        </w:rPr>
        <w:t>t</w:t>
      </w:r>
      <w:r w:rsidR="00C36B1C" w:rsidRPr="00C36B1C">
        <w:rPr>
          <w:rFonts w:ascii="Times New Roman" w:hAnsi="Times New Roman" w:cs="Times New Roman"/>
          <w:color w:val="000000" w:themeColor="text1"/>
          <w:sz w:val="24"/>
          <w:szCs w:val="24"/>
        </w:rPr>
        <w:t>ornadoes who are continuing to experience significant roadblocks to their recovery</w:t>
      </w:r>
      <w:r w:rsidR="00696C60">
        <w:rPr>
          <w:rFonts w:ascii="Times New Roman" w:hAnsi="Times New Roman" w:cs="Times New Roman"/>
          <w:color w:val="000000" w:themeColor="text1"/>
          <w:sz w:val="24"/>
          <w:szCs w:val="24"/>
        </w:rPr>
        <w:t xml:space="preserve">. </w:t>
      </w:r>
      <w:r w:rsidR="00C36B1C" w:rsidRPr="00C36B1C">
        <w:rPr>
          <w:rFonts w:ascii="Times New Roman" w:hAnsi="Times New Roman" w:cs="Times New Roman"/>
          <w:color w:val="000000" w:themeColor="text1"/>
          <w:sz w:val="24"/>
          <w:szCs w:val="24"/>
        </w:rPr>
        <w:t xml:space="preserve">Households who submit a form may be contacted by the American Red Cross to complete an application which will be reviewed for eligibility – households who meet eligibility criteria and are approved will receive a set assistance amount to support their ongoing recovery needs. </w:t>
      </w:r>
      <w:r w:rsidRPr="002D5386">
        <w:rPr>
          <w:rFonts w:ascii="Times New Roman" w:hAnsi="Times New Roman" w:cs="Times New Roman"/>
          <w:color w:val="000000" w:themeColor="text1"/>
          <w:sz w:val="24"/>
          <w:szCs w:val="24"/>
        </w:rPr>
        <w:t xml:space="preserve">Visit </w:t>
      </w:r>
      <w:hyperlink r:id="rId5" w:tgtFrame="_blank" w:history="1">
        <w:r w:rsidR="00C36B1C" w:rsidRPr="00E74F80">
          <w:rPr>
            <w:rFonts w:ascii="Times New Roman" w:hAnsi="Times New Roman" w:cs="Times New Roman"/>
            <w:color w:val="0000FF"/>
            <w:sz w:val="23"/>
            <w:szCs w:val="23"/>
            <w:u w:val="single"/>
            <w:bdr w:val="none" w:sz="0" w:space="0" w:color="auto" w:frame="1"/>
            <w:shd w:val="clear" w:color="auto" w:fill="FFFFFF"/>
          </w:rPr>
          <w:t>redcross.org/2021tornadoes-help</w:t>
        </w:r>
      </w:hyperlink>
      <w:r w:rsidRPr="002D5386">
        <w:rPr>
          <w:rFonts w:ascii="Times New Roman" w:hAnsi="Times New Roman" w:cs="Times New Roman"/>
          <w:color w:val="000000" w:themeColor="text1"/>
          <w:sz w:val="24"/>
          <w:szCs w:val="24"/>
        </w:rPr>
        <w:t xml:space="preserve"> to determine your eligibility.</w:t>
      </w:r>
      <w:r w:rsidR="00C36B1C">
        <w:rPr>
          <w:rFonts w:ascii="Times New Roman" w:hAnsi="Times New Roman" w:cs="Times New Roman"/>
          <w:color w:val="000000" w:themeColor="text1"/>
          <w:sz w:val="24"/>
          <w:szCs w:val="24"/>
        </w:rPr>
        <w:t xml:space="preserve"> </w:t>
      </w:r>
    </w:p>
    <w:p w14:paraId="100D3C76" w14:textId="77777777" w:rsidR="00493807" w:rsidRDefault="00493807" w:rsidP="002D5386">
      <w:pPr>
        <w:spacing w:after="0" w:line="480" w:lineRule="auto"/>
        <w:rPr>
          <w:rFonts w:ascii="Times New Roman" w:hAnsi="Times New Roman" w:cs="Times New Roman"/>
          <w:color w:val="000000" w:themeColor="text1"/>
          <w:sz w:val="24"/>
          <w:szCs w:val="24"/>
        </w:rPr>
      </w:pPr>
    </w:p>
    <w:p w14:paraId="77451D28" w14:textId="656698E5" w:rsidR="0028069B" w:rsidRDefault="00493807" w:rsidP="0028069B">
      <w:pPr>
        <w:spacing w:after="0" w:line="480" w:lineRule="auto"/>
        <w:ind w:firstLine="720"/>
        <w:rPr>
          <w:rFonts w:ascii="Times New Roman" w:hAnsi="Times New Roman" w:cs="Times New Roman"/>
          <w:sz w:val="24"/>
          <w:szCs w:val="24"/>
        </w:rPr>
      </w:pPr>
      <w:r>
        <w:rPr>
          <w:rFonts w:ascii="Times New Roman" w:hAnsi="Times New Roman" w:cs="Times New Roman"/>
          <w:color w:val="000000" w:themeColor="text1"/>
          <w:sz w:val="24"/>
          <w:szCs w:val="24"/>
        </w:rPr>
        <w:t xml:space="preserve">In honor of National Disaster Preparedness Month in September, Weakley County Long Term Recovery Group </w:t>
      </w:r>
      <w:r w:rsidR="00E23BF3">
        <w:rPr>
          <w:rFonts w:ascii="Times New Roman" w:hAnsi="Times New Roman" w:cs="Times New Roman"/>
          <w:color w:val="000000" w:themeColor="text1"/>
          <w:sz w:val="24"/>
          <w:szCs w:val="24"/>
        </w:rPr>
        <w:t xml:space="preserve">is partnering </w:t>
      </w:r>
      <w:r>
        <w:rPr>
          <w:rFonts w:ascii="Times New Roman" w:hAnsi="Times New Roman" w:cs="Times New Roman"/>
          <w:color w:val="000000" w:themeColor="text1"/>
          <w:sz w:val="24"/>
          <w:szCs w:val="24"/>
        </w:rPr>
        <w:t xml:space="preserve">with Weakley County Emergency Management Agency and Northwest Tennessee Development District </w:t>
      </w:r>
      <w:r w:rsidR="00E23BF3">
        <w:rPr>
          <w:rFonts w:ascii="Times New Roman" w:hAnsi="Times New Roman" w:cs="Times New Roman"/>
          <w:color w:val="000000" w:themeColor="text1"/>
          <w:sz w:val="24"/>
          <w:szCs w:val="24"/>
        </w:rPr>
        <w:t>to host</w:t>
      </w:r>
      <w:r>
        <w:rPr>
          <w:rFonts w:ascii="Times New Roman" w:hAnsi="Times New Roman" w:cs="Times New Roman"/>
          <w:color w:val="000000" w:themeColor="text1"/>
          <w:sz w:val="24"/>
          <w:szCs w:val="24"/>
        </w:rPr>
        <w:t xml:space="preserve"> </w:t>
      </w:r>
      <w:r w:rsidR="00E23BF3">
        <w:rPr>
          <w:rFonts w:ascii="Times New Roman" w:hAnsi="Times New Roman" w:cs="Times New Roman"/>
          <w:color w:val="000000" w:themeColor="text1"/>
          <w:sz w:val="24"/>
          <w:szCs w:val="24"/>
        </w:rPr>
        <w:t xml:space="preserve">the Weakley County Community Disaster Preparedness Event. This </w:t>
      </w:r>
      <w:r>
        <w:rPr>
          <w:rFonts w:ascii="Times New Roman" w:hAnsi="Times New Roman" w:cs="Times New Roman"/>
          <w:color w:val="000000" w:themeColor="text1"/>
          <w:sz w:val="24"/>
          <w:szCs w:val="24"/>
        </w:rPr>
        <w:t>family-friendly event</w:t>
      </w:r>
      <w:r w:rsidR="00E23BF3">
        <w:rPr>
          <w:rFonts w:ascii="Times New Roman" w:hAnsi="Times New Roman" w:cs="Times New Roman"/>
          <w:color w:val="000000" w:themeColor="text1"/>
          <w:sz w:val="24"/>
          <w:szCs w:val="24"/>
        </w:rPr>
        <w:t xml:space="preserve"> will</w:t>
      </w:r>
      <w:r>
        <w:rPr>
          <w:rFonts w:ascii="Times New Roman" w:hAnsi="Times New Roman" w:cs="Times New Roman"/>
          <w:color w:val="000000" w:themeColor="text1"/>
          <w:sz w:val="24"/>
          <w:szCs w:val="24"/>
        </w:rPr>
        <w:t xml:space="preserve"> help Weakley County residents prepare for future disasters. The Weakley County Community Disaster Preparedness Event will take place September 9, 2023, at </w:t>
      </w:r>
      <w:r w:rsidR="00A638E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Martin Recreational Complex in Martin, TN</w:t>
      </w:r>
      <w:r w:rsidR="00A638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from 10am – 12pm and</w:t>
      </w:r>
      <w:r w:rsidRPr="006550E9">
        <w:t xml:space="preserve"> </w:t>
      </w:r>
      <w:r w:rsidRPr="006550E9">
        <w:rPr>
          <w:rFonts w:ascii="Times New Roman" w:hAnsi="Times New Roman" w:cs="Times New Roman"/>
          <w:color w:val="000000" w:themeColor="text1"/>
          <w:sz w:val="24"/>
          <w:szCs w:val="24"/>
        </w:rPr>
        <w:t>will include representatives from local emergency services departments</w:t>
      </w:r>
      <w:r>
        <w:rPr>
          <w:rFonts w:ascii="Times New Roman" w:hAnsi="Times New Roman" w:cs="Times New Roman"/>
          <w:color w:val="000000" w:themeColor="text1"/>
          <w:sz w:val="24"/>
          <w:szCs w:val="24"/>
        </w:rPr>
        <w:t xml:space="preserve"> and their emergency vehicles, free weather radio distribution and programing,</w:t>
      </w:r>
      <w:r w:rsidR="00E23BF3">
        <w:rPr>
          <w:rFonts w:ascii="Times New Roman" w:hAnsi="Times New Roman" w:cs="Times New Roman"/>
          <w:color w:val="000000" w:themeColor="text1"/>
          <w:sz w:val="24"/>
          <w:szCs w:val="24"/>
        </w:rPr>
        <w:t xml:space="preserve"> entertainment for children,</w:t>
      </w:r>
      <w:r>
        <w:rPr>
          <w:rFonts w:ascii="Times New Roman" w:hAnsi="Times New Roman" w:cs="Times New Roman"/>
          <w:color w:val="000000" w:themeColor="text1"/>
          <w:sz w:val="24"/>
          <w:szCs w:val="24"/>
        </w:rPr>
        <w:t xml:space="preserve"> and much more. Updated event information can be found on the Facebook event page at </w:t>
      </w:r>
      <w:hyperlink r:id="rId6" w:history="1">
        <w:r w:rsidRPr="00933580">
          <w:rPr>
            <w:rStyle w:val="Hyperlink"/>
            <w:rFonts w:ascii="Times New Roman" w:hAnsi="Times New Roman" w:cs="Times New Roman"/>
            <w:sz w:val="24"/>
            <w:szCs w:val="24"/>
          </w:rPr>
          <w:t>https://www.facebook.com/events/740289417898397</w:t>
        </w:r>
      </w:hyperlink>
      <w:r>
        <w:rPr>
          <w:rFonts w:ascii="Times New Roman" w:hAnsi="Times New Roman" w:cs="Times New Roman"/>
          <w:sz w:val="24"/>
          <w:szCs w:val="24"/>
        </w:rPr>
        <w:t>.</w:t>
      </w:r>
    </w:p>
    <w:p w14:paraId="27DA38A0" w14:textId="59C37D94" w:rsidR="002D5386" w:rsidRDefault="00E23BF3" w:rsidP="0028069B">
      <w:pPr>
        <w:spacing w:after="0" w:line="480" w:lineRule="auto"/>
        <w:ind w:firstLine="720"/>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Individuals, businesses, and organizations are invited to serve as event </w:t>
      </w:r>
      <w:r w:rsidR="00493807">
        <w:rPr>
          <w:rFonts w:ascii="Times New Roman" w:hAnsi="Times New Roman" w:cs="Times New Roman"/>
          <w:color w:val="000000" w:themeColor="text1"/>
          <w:sz w:val="24"/>
          <w:szCs w:val="24"/>
        </w:rPr>
        <w:t>sponsor</w:t>
      </w:r>
      <w:r w:rsidR="00A638E5">
        <w:rPr>
          <w:rFonts w:ascii="Times New Roman" w:hAnsi="Times New Roman" w:cs="Times New Roman"/>
          <w:color w:val="000000" w:themeColor="text1"/>
          <w:sz w:val="24"/>
          <w:szCs w:val="24"/>
        </w:rPr>
        <w:t>s</w:t>
      </w:r>
      <w:r w:rsidR="0049380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set up a</w:t>
      </w:r>
      <w:r w:rsidR="00493807">
        <w:rPr>
          <w:rFonts w:ascii="Times New Roman" w:hAnsi="Times New Roman" w:cs="Times New Roman"/>
          <w:color w:val="000000" w:themeColor="text1"/>
          <w:sz w:val="24"/>
          <w:szCs w:val="24"/>
        </w:rPr>
        <w:t xml:space="preserve"> vendor</w:t>
      </w:r>
      <w:r>
        <w:rPr>
          <w:rFonts w:ascii="Times New Roman" w:hAnsi="Times New Roman" w:cs="Times New Roman"/>
          <w:color w:val="000000" w:themeColor="text1"/>
          <w:sz w:val="24"/>
          <w:szCs w:val="24"/>
        </w:rPr>
        <w:t xml:space="preserve"> table</w:t>
      </w:r>
      <w:r w:rsidR="00493807">
        <w:rPr>
          <w:rFonts w:ascii="Times New Roman" w:hAnsi="Times New Roman" w:cs="Times New Roman"/>
          <w:color w:val="000000" w:themeColor="text1"/>
          <w:sz w:val="24"/>
          <w:szCs w:val="24"/>
        </w:rPr>
        <w:t>, or volunteer at the Weakley County Community Disaster Preparedness Event</w:t>
      </w:r>
      <w:r>
        <w:rPr>
          <w:rFonts w:ascii="Times New Roman" w:hAnsi="Times New Roman" w:cs="Times New Roman"/>
          <w:color w:val="000000" w:themeColor="text1"/>
          <w:sz w:val="24"/>
          <w:szCs w:val="24"/>
        </w:rPr>
        <w:t>. Please</w:t>
      </w:r>
      <w:r w:rsidR="00493807">
        <w:rPr>
          <w:rFonts w:ascii="Times New Roman" w:hAnsi="Times New Roman" w:cs="Times New Roman"/>
          <w:color w:val="000000" w:themeColor="text1"/>
          <w:sz w:val="24"/>
          <w:szCs w:val="24"/>
        </w:rPr>
        <w:t xml:space="preserve"> contact WCLTRG Program Coordinator, Misti Pequignot at </w:t>
      </w:r>
      <w:hyperlink r:id="rId7" w:history="1">
        <w:r w:rsidR="00493807" w:rsidRPr="00933580">
          <w:rPr>
            <w:rStyle w:val="Hyperlink"/>
            <w:rFonts w:ascii="Times New Roman" w:hAnsi="Times New Roman" w:cs="Times New Roman"/>
            <w:sz w:val="24"/>
            <w:szCs w:val="24"/>
          </w:rPr>
          <w:t>weakleypc@untedway.tn.org</w:t>
        </w:r>
      </w:hyperlink>
      <w:bookmarkEnd w:id="0"/>
      <w:r>
        <w:rPr>
          <w:rFonts w:ascii="Times New Roman" w:hAnsi="Times New Roman" w:cs="Times New Roman"/>
          <w:sz w:val="24"/>
          <w:szCs w:val="24"/>
        </w:rPr>
        <w:t xml:space="preserve"> for details.</w:t>
      </w:r>
    </w:p>
    <w:p w14:paraId="45A2EBEF" w14:textId="77777777" w:rsidR="0028069B" w:rsidRPr="0028069B" w:rsidRDefault="0028069B" w:rsidP="0028069B">
      <w:pPr>
        <w:spacing w:after="0" w:line="480" w:lineRule="auto"/>
        <w:ind w:firstLine="720"/>
        <w:rPr>
          <w:rFonts w:ascii="Times New Roman" w:hAnsi="Times New Roman" w:cs="Times New Roman"/>
          <w:sz w:val="24"/>
          <w:szCs w:val="24"/>
        </w:rPr>
      </w:pPr>
    </w:p>
    <w:p w14:paraId="79BB22F9" w14:textId="4D294C5C" w:rsidR="002D5386" w:rsidRDefault="002D5386" w:rsidP="002D5386">
      <w:pPr>
        <w:pStyle w:val="paragraph"/>
        <w:spacing w:before="0" w:beforeAutospacing="0" w:after="0" w:afterAutospacing="0" w:line="480" w:lineRule="auto"/>
        <w:ind w:firstLine="720"/>
        <w:contextualSpacing/>
        <w:textAlignment w:val="baseline"/>
        <w:rPr>
          <w:color w:val="000000" w:themeColor="text1"/>
        </w:rPr>
      </w:pPr>
      <w:r w:rsidRPr="00800B9A">
        <w:t xml:space="preserve">As of </w:t>
      </w:r>
      <w:r>
        <w:t>July 25, 2023,</w:t>
      </w:r>
      <w:r w:rsidRPr="00800B9A">
        <w:t xml:space="preserve"> WCLTRG Allocations Committee has facilitated the payment of </w:t>
      </w:r>
      <w:r w:rsidRPr="002D5386">
        <w:t>$332,147.89</w:t>
      </w:r>
      <w:r>
        <w:t xml:space="preserve"> </w:t>
      </w:r>
      <w:r w:rsidRPr="00800B9A">
        <w:t xml:space="preserve">to meet the needs of survivors in case management since its inception. Funding has been provided by </w:t>
      </w:r>
      <w:r w:rsidRPr="00800B9A">
        <w:rPr>
          <w:color w:val="000000" w:themeColor="text1"/>
        </w:rPr>
        <w:t xml:space="preserve">Dresden Church of Christ, Dresden First Baptist Church, Dresden Rotary Club, Greenfield Church of Christ, Lebanon Church of Christ, </w:t>
      </w:r>
      <w:r>
        <w:rPr>
          <w:color w:val="000000" w:themeColor="text1"/>
        </w:rPr>
        <w:t xml:space="preserve">Lutheran Disaster Relief, </w:t>
      </w:r>
      <w:r w:rsidRPr="00800B9A">
        <w:rPr>
          <w:color w:val="000000" w:themeColor="text1"/>
        </w:rPr>
        <w:t>Weakley County Baptist Association</w:t>
      </w:r>
      <w:r>
        <w:rPr>
          <w:color w:val="000000" w:themeColor="text1"/>
        </w:rPr>
        <w:t>, and the Community Foundation of Middle Tennessee</w:t>
      </w:r>
      <w:r w:rsidRPr="00800B9A">
        <w:rPr>
          <w:color w:val="000000" w:themeColor="text1"/>
        </w:rPr>
        <w:t xml:space="preserve">. </w:t>
      </w:r>
      <w:r>
        <w:rPr>
          <w:color w:val="000000" w:themeColor="text1"/>
        </w:rPr>
        <w:t xml:space="preserve">These organizations provided an additional $200,920 in assistance to survivors prior to the creation of the WCLTRG in addition to food, toiletries, appliances, and clothing. </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04"/>
        <w:gridCol w:w="1980"/>
      </w:tblGrid>
      <w:tr w:rsidR="002D5386" w:rsidRPr="009C02F2" w14:paraId="74715365" w14:textId="77777777" w:rsidTr="00B42C53">
        <w:trPr>
          <w:trHeight w:val="255"/>
          <w:jc w:val="center"/>
        </w:trPr>
        <w:tc>
          <w:tcPr>
            <w:tcW w:w="6304" w:type="dxa"/>
            <w:shd w:val="clear" w:color="auto" w:fill="E7E6E6" w:themeFill="background2"/>
            <w:noWrap/>
            <w:tcMar>
              <w:top w:w="0" w:type="dxa"/>
              <w:left w:w="108" w:type="dxa"/>
              <w:bottom w:w="0" w:type="dxa"/>
              <w:right w:w="108" w:type="dxa"/>
            </w:tcMar>
            <w:vAlign w:val="bottom"/>
            <w:hideMark/>
          </w:tcPr>
          <w:p w14:paraId="1B399AED" w14:textId="77777777" w:rsidR="002D5386" w:rsidRPr="009C02F2" w:rsidRDefault="002D5386" w:rsidP="00B42C53">
            <w:pPr>
              <w:spacing w:after="0" w:line="276" w:lineRule="auto"/>
              <w:rPr>
                <w:rFonts w:ascii="Arial" w:eastAsia="Calibri" w:hAnsi="Arial" w:cs="Arial"/>
                <w:color w:val="000000"/>
              </w:rPr>
            </w:pPr>
            <w:r w:rsidRPr="009C02F2">
              <w:rPr>
                <w:rFonts w:ascii="Arial" w:eastAsia="Calibri" w:hAnsi="Arial" w:cs="Arial"/>
                <w:color w:val="000000"/>
              </w:rPr>
              <w:t>Auto</w:t>
            </w:r>
          </w:p>
        </w:tc>
        <w:tc>
          <w:tcPr>
            <w:tcW w:w="1980" w:type="dxa"/>
            <w:shd w:val="clear" w:color="auto" w:fill="E7E6E6" w:themeFill="background2"/>
            <w:noWrap/>
            <w:tcMar>
              <w:top w:w="0" w:type="dxa"/>
              <w:left w:w="108" w:type="dxa"/>
              <w:bottom w:w="0" w:type="dxa"/>
              <w:right w:w="108" w:type="dxa"/>
            </w:tcMar>
            <w:vAlign w:val="bottom"/>
            <w:hideMark/>
          </w:tcPr>
          <w:p w14:paraId="0BF9424E" w14:textId="77777777" w:rsidR="002D5386" w:rsidRPr="009C02F2" w:rsidRDefault="002D5386" w:rsidP="00B42C53">
            <w:pPr>
              <w:spacing w:after="0" w:line="276" w:lineRule="auto"/>
              <w:jc w:val="right"/>
              <w:rPr>
                <w:rFonts w:ascii="Arial" w:eastAsia="Calibri" w:hAnsi="Arial" w:cs="Arial"/>
                <w:color w:val="000000"/>
              </w:rPr>
            </w:pPr>
            <w:r w:rsidRPr="009C02F2">
              <w:rPr>
                <w:rFonts w:ascii="Arial" w:eastAsia="Calibri" w:hAnsi="Arial" w:cs="Arial"/>
                <w:color w:val="000000"/>
              </w:rPr>
              <w:t>$</w:t>
            </w:r>
            <w:r>
              <w:rPr>
                <w:rFonts w:ascii="Arial" w:eastAsia="Calibri" w:hAnsi="Arial" w:cs="Arial"/>
                <w:color w:val="000000"/>
              </w:rPr>
              <w:t>11</w:t>
            </w:r>
            <w:r w:rsidRPr="009C02F2">
              <w:rPr>
                <w:rFonts w:ascii="Arial" w:eastAsia="Calibri" w:hAnsi="Arial" w:cs="Arial"/>
                <w:color w:val="000000"/>
              </w:rPr>
              <w:t>,077.65</w:t>
            </w:r>
          </w:p>
        </w:tc>
      </w:tr>
      <w:tr w:rsidR="002D5386" w:rsidRPr="009C02F2" w14:paraId="75B1E459" w14:textId="77777777" w:rsidTr="00B42C53">
        <w:trPr>
          <w:trHeight w:val="255"/>
          <w:jc w:val="center"/>
        </w:trPr>
        <w:tc>
          <w:tcPr>
            <w:tcW w:w="6304" w:type="dxa"/>
            <w:shd w:val="clear" w:color="auto" w:fill="E7E6E6" w:themeFill="background2"/>
            <w:noWrap/>
            <w:tcMar>
              <w:top w:w="0" w:type="dxa"/>
              <w:left w:w="108" w:type="dxa"/>
              <w:bottom w:w="0" w:type="dxa"/>
              <w:right w:w="108" w:type="dxa"/>
            </w:tcMar>
            <w:vAlign w:val="bottom"/>
            <w:hideMark/>
          </w:tcPr>
          <w:p w14:paraId="3A993836" w14:textId="77777777" w:rsidR="002D5386" w:rsidRPr="009C02F2" w:rsidRDefault="002D5386" w:rsidP="00B42C53">
            <w:pPr>
              <w:spacing w:after="0" w:line="276" w:lineRule="auto"/>
              <w:rPr>
                <w:rFonts w:ascii="Arial" w:eastAsia="Calibri" w:hAnsi="Arial" w:cs="Arial"/>
                <w:color w:val="000000"/>
              </w:rPr>
            </w:pPr>
            <w:r w:rsidRPr="009C02F2">
              <w:rPr>
                <w:rFonts w:ascii="Arial" w:eastAsia="Calibri" w:hAnsi="Arial" w:cs="Arial"/>
                <w:color w:val="000000"/>
              </w:rPr>
              <w:t>Construction</w:t>
            </w:r>
          </w:p>
        </w:tc>
        <w:tc>
          <w:tcPr>
            <w:tcW w:w="1980" w:type="dxa"/>
            <w:shd w:val="clear" w:color="auto" w:fill="E7E6E6" w:themeFill="background2"/>
            <w:noWrap/>
            <w:tcMar>
              <w:top w:w="0" w:type="dxa"/>
              <w:left w:w="108" w:type="dxa"/>
              <w:bottom w:w="0" w:type="dxa"/>
              <w:right w:w="108" w:type="dxa"/>
            </w:tcMar>
            <w:vAlign w:val="bottom"/>
            <w:hideMark/>
          </w:tcPr>
          <w:p w14:paraId="230E4676" w14:textId="77777777" w:rsidR="002D5386" w:rsidRPr="009C02F2" w:rsidRDefault="002D5386" w:rsidP="00B42C53">
            <w:pPr>
              <w:spacing w:after="0" w:line="276" w:lineRule="auto"/>
              <w:jc w:val="right"/>
              <w:rPr>
                <w:rFonts w:ascii="Arial" w:eastAsia="Calibri" w:hAnsi="Arial" w:cs="Arial"/>
                <w:color w:val="000000"/>
              </w:rPr>
            </w:pPr>
            <w:r w:rsidRPr="009C02F2">
              <w:rPr>
                <w:rFonts w:ascii="Arial" w:eastAsia="Calibri" w:hAnsi="Arial" w:cs="Arial"/>
                <w:color w:val="000000"/>
              </w:rPr>
              <w:t>$71,455.89</w:t>
            </w:r>
          </w:p>
        </w:tc>
      </w:tr>
      <w:tr w:rsidR="002D5386" w:rsidRPr="009C02F2" w14:paraId="568D9354" w14:textId="77777777" w:rsidTr="00B42C53">
        <w:trPr>
          <w:trHeight w:val="255"/>
          <w:jc w:val="center"/>
        </w:trPr>
        <w:tc>
          <w:tcPr>
            <w:tcW w:w="6304" w:type="dxa"/>
            <w:shd w:val="clear" w:color="auto" w:fill="E7E6E6" w:themeFill="background2"/>
            <w:noWrap/>
            <w:tcMar>
              <w:top w:w="0" w:type="dxa"/>
              <w:left w:w="108" w:type="dxa"/>
              <w:bottom w:w="0" w:type="dxa"/>
              <w:right w:w="108" w:type="dxa"/>
            </w:tcMar>
            <w:vAlign w:val="bottom"/>
            <w:hideMark/>
          </w:tcPr>
          <w:p w14:paraId="44920F1C" w14:textId="77777777" w:rsidR="002D5386" w:rsidRPr="009C02F2" w:rsidRDefault="002D5386" w:rsidP="00B42C53">
            <w:pPr>
              <w:spacing w:after="0" w:line="276" w:lineRule="auto"/>
              <w:rPr>
                <w:rFonts w:ascii="Arial" w:eastAsia="Calibri" w:hAnsi="Arial" w:cs="Arial"/>
                <w:color w:val="000000"/>
              </w:rPr>
            </w:pPr>
            <w:r w:rsidRPr="009C02F2">
              <w:rPr>
                <w:rFonts w:ascii="Arial" w:eastAsia="Calibri" w:hAnsi="Arial" w:cs="Arial"/>
                <w:color w:val="000000"/>
              </w:rPr>
              <w:t>Furniture/Appliances</w:t>
            </w:r>
          </w:p>
        </w:tc>
        <w:tc>
          <w:tcPr>
            <w:tcW w:w="1980" w:type="dxa"/>
            <w:shd w:val="clear" w:color="auto" w:fill="E7E6E6" w:themeFill="background2"/>
            <w:noWrap/>
            <w:tcMar>
              <w:top w:w="0" w:type="dxa"/>
              <w:left w:w="108" w:type="dxa"/>
              <w:bottom w:w="0" w:type="dxa"/>
              <w:right w:w="108" w:type="dxa"/>
            </w:tcMar>
            <w:vAlign w:val="bottom"/>
            <w:hideMark/>
          </w:tcPr>
          <w:p w14:paraId="325A8ADA" w14:textId="4CA7A751" w:rsidR="002D5386" w:rsidRPr="002D5386" w:rsidRDefault="002D5386" w:rsidP="002D5386">
            <w:pPr>
              <w:spacing w:after="0" w:line="276" w:lineRule="auto"/>
              <w:jc w:val="right"/>
              <w:rPr>
                <w:rFonts w:eastAsia="Times New Roman"/>
                <w:color w:val="000000"/>
                <w:sz w:val="24"/>
                <w:szCs w:val="24"/>
              </w:rPr>
            </w:pPr>
            <w:r>
              <w:rPr>
                <w:rFonts w:eastAsia="Times New Roman"/>
                <w:color w:val="000000"/>
                <w:sz w:val="24"/>
                <w:szCs w:val="24"/>
              </w:rPr>
              <w:t>$70,805.95</w:t>
            </w:r>
          </w:p>
        </w:tc>
      </w:tr>
      <w:tr w:rsidR="002D5386" w:rsidRPr="009C02F2" w14:paraId="66752172" w14:textId="77777777" w:rsidTr="00B42C53">
        <w:trPr>
          <w:trHeight w:val="255"/>
          <w:jc w:val="center"/>
        </w:trPr>
        <w:tc>
          <w:tcPr>
            <w:tcW w:w="6304" w:type="dxa"/>
            <w:shd w:val="clear" w:color="auto" w:fill="E7E6E6" w:themeFill="background2"/>
            <w:noWrap/>
            <w:tcMar>
              <w:top w:w="0" w:type="dxa"/>
              <w:left w:w="108" w:type="dxa"/>
              <w:bottom w:w="0" w:type="dxa"/>
              <w:right w:w="108" w:type="dxa"/>
            </w:tcMar>
            <w:vAlign w:val="bottom"/>
            <w:hideMark/>
          </w:tcPr>
          <w:p w14:paraId="1059D7F5" w14:textId="77777777" w:rsidR="002D5386" w:rsidRPr="009C02F2" w:rsidRDefault="002D5386" w:rsidP="00B42C53">
            <w:pPr>
              <w:spacing w:after="0" w:line="276" w:lineRule="auto"/>
              <w:rPr>
                <w:rFonts w:ascii="Arial" w:eastAsia="Calibri" w:hAnsi="Arial" w:cs="Arial"/>
                <w:color w:val="000000"/>
              </w:rPr>
            </w:pPr>
            <w:r w:rsidRPr="009C02F2">
              <w:rPr>
                <w:rFonts w:ascii="Arial" w:eastAsia="Calibri" w:hAnsi="Arial" w:cs="Arial"/>
                <w:color w:val="000000"/>
              </w:rPr>
              <w:t>Home Repairs</w:t>
            </w:r>
          </w:p>
        </w:tc>
        <w:tc>
          <w:tcPr>
            <w:tcW w:w="1980" w:type="dxa"/>
            <w:shd w:val="clear" w:color="auto" w:fill="E7E6E6" w:themeFill="background2"/>
            <w:noWrap/>
            <w:tcMar>
              <w:top w:w="0" w:type="dxa"/>
              <w:left w:w="108" w:type="dxa"/>
              <w:bottom w:w="0" w:type="dxa"/>
              <w:right w:w="108" w:type="dxa"/>
            </w:tcMar>
            <w:vAlign w:val="bottom"/>
            <w:hideMark/>
          </w:tcPr>
          <w:p w14:paraId="61BE8EB2" w14:textId="77777777" w:rsidR="002D5386" w:rsidRPr="009C02F2" w:rsidRDefault="002D5386" w:rsidP="00B42C53">
            <w:pPr>
              <w:spacing w:after="0" w:line="276" w:lineRule="auto"/>
              <w:jc w:val="right"/>
              <w:rPr>
                <w:rFonts w:ascii="Arial" w:eastAsia="Calibri" w:hAnsi="Arial" w:cs="Arial"/>
                <w:color w:val="000000"/>
              </w:rPr>
            </w:pPr>
            <w:r w:rsidRPr="009C02F2">
              <w:rPr>
                <w:rFonts w:ascii="Arial" w:eastAsia="Calibri" w:hAnsi="Arial" w:cs="Arial"/>
                <w:color w:val="000000"/>
              </w:rPr>
              <w:t>$</w:t>
            </w:r>
            <w:r>
              <w:rPr>
                <w:rFonts w:ascii="Arial" w:eastAsia="Calibri" w:hAnsi="Arial" w:cs="Arial"/>
                <w:color w:val="000000"/>
              </w:rPr>
              <w:t>114,429.53</w:t>
            </w:r>
          </w:p>
        </w:tc>
      </w:tr>
      <w:tr w:rsidR="002D5386" w:rsidRPr="009C02F2" w14:paraId="38BB3F81" w14:textId="77777777" w:rsidTr="00B42C53">
        <w:trPr>
          <w:trHeight w:val="255"/>
          <w:jc w:val="center"/>
        </w:trPr>
        <w:tc>
          <w:tcPr>
            <w:tcW w:w="6304" w:type="dxa"/>
            <w:shd w:val="clear" w:color="auto" w:fill="E7E6E6" w:themeFill="background2"/>
            <w:noWrap/>
            <w:tcMar>
              <w:top w:w="0" w:type="dxa"/>
              <w:left w:w="108" w:type="dxa"/>
              <w:bottom w:w="0" w:type="dxa"/>
              <w:right w:w="108" w:type="dxa"/>
            </w:tcMar>
            <w:vAlign w:val="bottom"/>
            <w:hideMark/>
          </w:tcPr>
          <w:p w14:paraId="36910A00" w14:textId="77777777" w:rsidR="002D5386" w:rsidRPr="009C02F2" w:rsidRDefault="002D5386" w:rsidP="00B42C53">
            <w:pPr>
              <w:spacing w:after="0" w:line="276" w:lineRule="auto"/>
              <w:rPr>
                <w:rFonts w:ascii="Arial" w:eastAsia="Calibri" w:hAnsi="Arial" w:cs="Arial"/>
                <w:color w:val="000000"/>
              </w:rPr>
            </w:pPr>
            <w:r w:rsidRPr="009C02F2">
              <w:rPr>
                <w:rFonts w:ascii="Arial" w:eastAsia="Calibri" w:hAnsi="Arial" w:cs="Arial"/>
                <w:color w:val="000000"/>
              </w:rPr>
              <w:t>Household</w:t>
            </w:r>
          </w:p>
        </w:tc>
        <w:tc>
          <w:tcPr>
            <w:tcW w:w="1980" w:type="dxa"/>
            <w:shd w:val="clear" w:color="auto" w:fill="E7E6E6" w:themeFill="background2"/>
            <w:noWrap/>
            <w:tcMar>
              <w:top w:w="0" w:type="dxa"/>
              <w:left w:w="108" w:type="dxa"/>
              <w:bottom w:w="0" w:type="dxa"/>
              <w:right w:w="108" w:type="dxa"/>
            </w:tcMar>
            <w:vAlign w:val="bottom"/>
            <w:hideMark/>
          </w:tcPr>
          <w:p w14:paraId="753977F1" w14:textId="77777777" w:rsidR="002D5386" w:rsidRPr="009C02F2" w:rsidRDefault="002D5386" w:rsidP="00B42C53">
            <w:pPr>
              <w:spacing w:after="0" w:line="276" w:lineRule="auto"/>
              <w:jc w:val="right"/>
              <w:rPr>
                <w:rFonts w:ascii="Arial" w:eastAsia="Calibri" w:hAnsi="Arial" w:cs="Arial"/>
                <w:color w:val="000000"/>
              </w:rPr>
            </w:pPr>
            <w:r w:rsidRPr="009C02F2">
              <w:rPr>
                <w:rFonts w:ascii="Arial" w:eastAsia="Calibri" w:hAnsi="Arial" w:cs="Arial"/>
                <w:color w:val="000000"/>
              </w:rPr>
              <w:t>$</w:t>
            </w:r>
            <w:r>
              <w:rPr>
                <w:rFonts w:ascii="Arial" w:eastAsia="Calibri" w:hAnsi="Arial" w:cs="Arial"/>
                <w:color w:val="000000"/>
              </w:rPr>
              <w:t>900.63</w:t>
            </w:r>
          </w:p>
        </w:tc>
      </w:tr>
      <w:tr w:rsidR="002D5386" w:rsidRPr="009C02F2" w14:paraId="0756FED3" w14:textId="77777777" w:rsidTr="00B42C53">
        <w:trPr>
          <w:trHeight w:val="255"/>
          <w:jc w:val="center"/>
        </w:trPr>
        <w:tc>
          <w:tcPr>
            <w:tcW w:w="6304" w:type="dxa"/>
            <w:shd w:val="clear" w:color="auto" w:fill="E7E6E6" w:themeFill="background2"/>
            <w:noWrap/>
            <w:tcMar>
              <w:top w:w="0" w:type="dxa"/>
              <w:left w:w="108" w:type="dxa"/>
              <w:bottom w:w="0" w:type="dxa"/>
              <w:right w:w="108" w:type="dxa"/>
            </w:tcMar>
            <w:vAlign w:val="bottom"/>
            <w:hideMark/>
          </w:tcPr>
          <w:p w14:paraId="02800186" w14:textId="77777777" w:rsidR="002D5386" w:rsidRPr="009C02F2" w:rsidRDefault="002D5386" w:rsidP="002D5386">
            <w:pPr>
              <w:spacing w:after="0" w:line="276" w:lineRule="auto"/>
              <w:rPr>
                <w:rFonts w:ascii="Arial" w:eastAsia="Calibri" w:hAnsi="Arial" w:cs="Arial"/>
                <w:color w:val="000000"/>
              </w:rPr>
            </w:pPr>
            <w:r w:rsidRPr="009C02F2">
              <w:rPr>
                <w:rFonts w:ascii="Arial" w:eastAsia="Calibri" w:hAnsi="Arial" w:cs="Arial"/>
                <w:color w:val="000000"/>
              </w:rPr>
              <w:t>Housing</w:t>
            </w:r>
          </w:p>
        </w:tc>
        <w:tc>
          <w:tcPr>
            <w:tcW w:w="1980" w:type="dxa"/>
            <w:shd w:val="clear" w:color="auto" w:fill="E7E6E6" w:themeFill="background2"/>
            <w:noWrap/>
            <w:tcMar>
              <w:top w:w="0" w:type="dxa"/>
              <w:left w:w="108" w:type="dxa"/>
              <w:bottom w:w="0" w:type="dxa"/>
              <w:right w:w="108" w:type="dxa"/>
            </w:tcMar>
            <w:vAlign w:val="bottom"/>
            <w:hideMark/>
          </w:tcPr>
          <w:p w14:paraId="03C71400" w14:textId="3FC2DFD5" w:rsidR="002D5386" w:rsidRPr="009C02F2" w:rsidRDefault="002D5386" w:rsidP="002D5386">
            <w:pPr>
              <w:spacing w:after="0" w:line="276" w:lineRule="auto"/>
              <w:jc w:val="right"/>
              <w:rPr>
                <w:rFonts w:ascii="Arial" w:eastAsia="Calibri" w:hAnsi="Arial" w:cs="Arial"/>
                <w:color w:val="000000"/>
              </w:rPr>
            </w:pPr>
            <w:r>
              <w:rPr>
                <w:rFonts w:eastAsia="Times New Roman"/>
                <w:color w:val="000000"/>
                <w:sz w:val="24"/>
                <w:szCs w:val="24"/>
              </w:rPr>
              <w:t xml:space="preserve">$19,445.00 </w:t>
            </w:r>
          </w:p>
        </w:tc>
      </w:tr>
      <w:tr w:rsidR="002D5386" w:rsidRPr="009C02F2" w14:paraId="11A44410" w14:textId="77777777" w:rsidTr="00B42C53">
        <w:trPr>
          <w:trHeight w:val="255"/>
          <w:jc w:val="center"/>
        </w:trPr>
        <w:tc>
          <w:tcPr>
            <w:tcW w:w="6304" w:type="dxa"/>
            <w:shd w:val="clear" w:color="auto" w:fill="E7E6E6" w:themeFill="background2"/>
            <w:noWrap/>
            <w:tcMar>
              <w:top w:w="0" w:type="dxa"/>
              <w:left w:w="108" w:type="dxa"/>
              <w:bottom w:w="0" w:type="dxa"/>
              <w:right w:w="108" w:type="dxa"/>
            </w:tcMar>
            <w:vAlign w:val="bottom"/>
            <w:hideMark/>
          </w:tcPr>
          <w:p w14:paraId="2F7A9F50" w14:textId="77777777" w:rsidR="002D5386" w:rsidRPr="009C02F2" w:rsidRDefault="002D5386" w:rsidP="002D5386">
            <w:pPr>
              <w:spacing w:after="0" w:line="276" w:lineRule="auto"/>
              <w:rPr>
                <w:rFonts w:ascii="Arial" w:eastAsia="Calibri" w:hAnsi="Arial" w:cs="Arial"/>
                <w:color w:val="000000"/>
              </w:rPr>
            </w:pPr>
            <w:r w:rsidRPr="009C02F2">
              <w:rPr>
                <w:rFonts w:ascii="Arial" w:eastAsia="Calibri" w:hAnsi="Arial" w:cs="Arial"/>
                <w:color w:val="000000"/>
              </w:rPr>
              <w:t>Services</w:t>
            </w:r>
          </w:p>
        </w:tc>
        <w:tc>
          <w:tcPr>
            <w:tcW w:w="1980" w:type="dxa"/>
            <w:shd w:val="clear" w:color="auto" w:fill="E7E6E6" w:themeFill="background2"/>
            <w:noWrap/>
            <w:tcMar>
              <w:top w:w="0" w:type="dxa"/>
              <w:left w:w="108" w:type="dxa"/>
              <w:bottom w:w="0" w:type="dxa"/>
              <w:right w:w="108" w:type="dxa"/>
            </w:tcMar>
            <w:vAlign w:val="bottom"/>
            <w:hideMark/>
          </w:tcPr>
          <w:p w14:paraId="0E3E9344" w14:textId="77777777" w:rsidR="002D5386" w:rsidRPr="009C02F2" w:rsidRDefault="002D5386" w:rsidP="002D5386">
            <w:pPr>
              <w:spacing w:after="0" w:line="276" w:lineRule="auto"/>
              <w:jc w:val="right"/>
              <w:rPr>
                <w:rFonts w:ascii="Arial" w:eastAsia="Calibri" w:hAnsi="Arial" w:cs="Arial"/>
                <w:color w:val="000000"/>
              </w:rPr>
            </w:pPr>
            <w:r w:rsidRPr="009C02F2">
              <w:rPr>
                <w:rFonts w:ascii="Arial" w:eastAsia="Calibri" w:hAnsi="Arial" w:cs="Arial"/>
                <w:color w:val="000000"/>
              </w:rPr>
              <w:t>$</w:t>
            </w:r>
            <w:r>
              <w:rPr>
                <w:rFonts w:ascii="Arial" w:eastAsia="Calibri" w:hAnsi="Arial" w:cs="Arial"/>
                <w:color w:val="000000"/>
              </w:rPr>
              <w:t>24,853.87</w:t>
            </w:r>
          </w:p>
        </w:tc>
      </w:tr>
      <w:tr w:rsidR="002D5386" w:rsidRPr="009C02F2" w14:paraId="6EB6E03C" w14:textId="77777777" w:rsidTr="00B42C53">
        <w:trPr>
          <w:trHeight w:val="255"/>
          <w:jc w:val="center"/>
        </w:trPr>
        <w:tc>
          <w:tcPr>
            <w:tcW w:w="6304" w:type="dxa"/>
            <w:shd w:val="clear" w:color="auto" w:fill="E7E6E6" w:themeFill="background2"/>
            <w:noWrap/>
            <w:tcMar>
              <w:top w:w="0" w:type="dxa"/>
              <w:left w:w="108" w:type="dxa"/>
              <w:bottom w:w="0" w:type="dxa"/>
              <w:right w:w="108" w:type="dxa"/>
            </w:tcMar>
            <w:vAlign w:val="bottom"/>
            <w:hideMark/>
          </w:tcPr>
          <w:p w14:paraId="65D3E1AB" w14:textId="77777777" w:rsidR="002D5386" w:rsidRPr="009C02F2" w:rsidRDefault="002D5386" w:rsidP="002D5386">
            <w:pPr>
              <w:spacing w:after="0" w:line="276" w:lineRule="auto"/>
              <w:rPr>
                <w:rFonts w:ascii="Arial" w:eastAsia="Calibri" w:hAnsi="Arial" w:cs="Arial"/>
                <w:color w:val="000000"/>
              </w:rPr>
            </w:pPr>
            <w:r w:rsidRPr="009C02F2">
              <w:rPr>
                <w:rFonts w:ascii="Arial" w:eastAsia="Calibri" w:hAnsi="Arial" w:cs="Arial"/>
                <w:color w:val="000000"/>
              </w:rPr>
              <w:t>Storage</w:t>
            </w:r>
          </w:p>
        </w:tc>
        <w:tc>
          <w:tcPr>
            <w:tcW w:w="1980" w:type="dxa"/>
            <w:shd w:val="clear" w:color="auto" w:fill="E7E6E6" w:themeFill="background2"/>
            <w:noWrap/>
            <w:tcMar>
              <w:top w:w="0" w:type="dxa"/>
              <w:left w:w="108" w:type="dxa"/>
              <w:bottom w:w="0" w:type="dxa"/>
              <w:right w:w="108" w:type="dxa"/>
            </w:tcMar>
            <w:vAlign w:val="bottom"/>
            <w:hideMark/>
          </w:tcPr>
          <w:p w14:paraId="0C853E62" w14:textId="77777777" w:rsidR="002D5386" w:rsidRPr="009C02F2" w:rsidRDefault="002D5386" w:rsidP="002D5386">
            <w:pPr>
              <w:spacing w:after="0" w:line="276" w:lineRule="auto"/>
              <w:jc w:val="right"/>
              <w:rPr>
                <w:rFonts w:ascii="Arial" w:eastAsia="Calibri" w:hAnsi="Arial" w:cs="Arial"/>
                <w:color w:val="000000"/>
              </w:rPr>
            </w:pPr>
            <w:r w:rsidRPr="009C02F2">
              <w:rPr>
                <w:rFonts w:ascii="Arial" w:eastAsia="Calibri" w:hAnsi="Arial" w:cs="Arial"/>
                <w:color w:val="000000"/>
              </w:rPr>
              <w:t>$900.00</w:t>
            </w:r>
          </w:p>
        </w:tc>
      </w:tr>
      <w:tr w:rsidR="002D5386" w:rsidRPr="009C02F2" w14:paraId="6C267123" w14:textId="77777777" w:rsidTr="00B42C53">
        <w:trPr>
          <w:trHeight w:val="255"/>
          <w:jc w:val="center"/>
        </w:trPr>
        <w:tc>
          <w:tcPr>
            <w:tcW w:w="6304" w:type="dxa"/>
            <w:shd w:val="clear" w:color="auto" w:fill="E7E6E6" w:themeFill="background2"/>
            <w:noWrap/>
            <w:tcMar>
              <w:top w:w="0" w:type="dxa"/>
              <w:left w:w="108" w:type="dxa"/>
              <w:bottom w:w="0" w:type="dxa"/>
              <w:right w:w="108" w:type="dxa"/>
            </w:tcMar>
            <w:vAlign w:val="bottom"/>
            <w:hideMark/>
          </w:tcPr>
          <w:p w14:paraId="78C54532" w14:textId="77777777" w:rsidR="002D5386" w:rsidRPr="009C02F2" w:rsidRDefault="002D5386" w:rsidP="002D5386">
            <w:pPr>
              <w:spacing w:after="0" w:line="276" w:lineRule="auto"/>
              <w:rPr>
                <w:rFonts w:ascii="Arial" w:eastAsia="Calibri" w:hAnsi="Arial" w:cs="Arial"/>
                <w:color w:val="000000"/>
              </w:rPr>
            </w:pPr>
            <w:r w:rsidRPr="009C02F2">
              <w:rPr>
                <w:rFonts w:ascii="Arial" w:eastAsia="Calibri" w:hAnsi="Arial" w:cs="Arial"/>
                <w:color w:val="000000"/>
              </w:rPr>
              <w:t>Supplies</w:t>
            </w:r>
          </w:p>
        </w:tc>
        <w:tc>
          <w:tcPr>
            <w:tcW w:w="1980" w:type="dxa"/>
            <w:shd w:val="clear" w:color="auto" w:fill="E7E6E6" w:themeFill="background2"/>
            <w:noWrap/>
            <w:tcMar>
              <w:top w:w="0" w:type="dxa"/>
              <w:left w:w="108" w:type="dxa"/>
              <w:bottom w:w="0" w:type="dxa"/>
              <w:right w:w="108" w:type="dxa"/>
            </w:tcMar>
            <w:vAlign w:val="bottom"/>
            <w:hideMark/>
          </w:tcPr>
          <w:p w14:paraId="42FC827B" w14:textId="77777777" w:rsidR="002D5386" w:rsidRPr="009C02F2" w:rsidRDefault="002D5386" w:rsidP="002D5386">
            <w:pPr>
              <w:spacing w:after="0" w:line="276" w:lineRule="auto"/>
              <w:jc w:val="right"/>
              <w:rPr>
                <w:rFonts w:ascii="Arial" w:eastAsia="Calibri" w:hAnsi="Arial" w:cs="Arial"/>
                <w:color w:val="000000"/>
              </w:rPr>
            </w:pPr>
            <w:r w:rsidRPr="009C02F2">
              <w:rPr>
                <w:rFonts w:ascii="Arial" w:eastAsia="Calibri" w:hAnsi="Arial" w:cs="Arial"/>
                <w:color w:val="000000"/>
              </w:rPr>
              <w:t>$16,714.23</w:t>
            </w:r>
          </w:p>
        </w:tc>
      </w:tr>
      <w:tr w:rsidR="002D5386" w:rsidRPr="009C02F2" w14:paraId="683588EA" w14:textId="77777777" w:rsidTr="00B42C53">
        <w:trPr>
          <w:trHeight w:val="255"/>
          <w:jc w:val="center"/>
        </w:trPr>
        <w:tc>
          <w:tcPr>
            <w:tcW w:w="6304" w:type="dxa"/>
            <w:shd w:val="clear" w:color="auto" w:fill="E7E6E6" w:themeFill="background2"/>
            <w:noWrap/>
            <w:tcMar>
              <w:top w:w="0" w:type="dxa"/>
              <w:left w:w="108" w:type="dxa"/>
              <w:bottom w:w="0" w:type="dxa"/>
              <w:right w:w="108" w:type="dxa"/>
            </w:tcMar>
            <w:vAlign w:val="bottom"/>
            <w:hideMark/>
          </w:tcPr>
          <w:p w14:paraId="19CF3E5C" w14:textId="77777777" w:rsidR="002D5386" w:rsidRPr="009C02F2" w:rsidRDefault="002D5386" w:rsidP="002D5386">
            <w:pPr>
              <w:spacing w:after="0" w:line="276" w:lineRule="auto"/>
              <w:rPr>
                <w:rFonts w:ascii="Arial" w:eastAsia="Calibri" w:hAnsi="Arial" w:cs="Arial"/>
                <w:color w:val="000000"/>
              </w:rPr>
            </w:pPr>
            <w:r w:rsidRPr="009C02F2">
              <w:rPr>
                <w:rFonts w:ascii="Arial" w:eastAsia="Calibri" w:hAnsi="Arial" w:cs="Arial"/>
                <w:color w:val="000000"/>
              </w:rPr>
              <w:t>Personal Care</w:t>
            </w:r>
          </w:p>
        </w:tc>
        <w:tc>
          <w:tcPr>
            <w:tcW w:w="1980" w:type="dxa"/>
            <w:shd w:val="clear" w:color="auto" w:fill="E7E6E6" w:themeFill="background2"/>
            <w:noWrap/>
            <w:tcMar>
              <w:top w:w="0" w:type="dxa"/>
              <w:left w:w="108" w:type="dxa"/>
              <w:bottom w:w="0" w:type="dxa"/>
              <w:right w:w="108" w:type="dxa"/>
            </w:tcMar>
            <w:vAlign w:val="bottom"/>
            <w:hideMark/>
          </w:tcPr>
          <w:p w14:paraId="3E97FF9A" w14:textId="77777777" w:rsidR="002D5386" w:rsidRPr="009C02F2" w:rsidRDefault="002D5386" w:rsidP="002D5386">
            <w:pPr>
              <w:spacing w:after="0" w:line="276" w:lineRule="auto"/>
              <w:jc w:val="right"/>
              <w:rPr>
                <w:rFonts w:ascii="Arial" w:eastAsia="Calibri" w:hAnsi="Arial" w:cs="Arial"/>
                <w:color w:val="000000"/>
              </w:rPr>
            </w:pPr>
            <w:r>
              <w:rPr>
                <w:rFonts w:ascii="Arial" w:eastAsia="Calibri" w:hAnsi="Arial" w:cs="Arial"/>
                <w:color w:val="000000"/>
              </w:rPr>
              <w:t>$1,565.14</w:t>
            </w:r>
          </w:p>
        </w:tc>
      </w:tr>
      <w:tr w:rsidR="002D5386" w:rsidRPr="009C02F2" w14:paraId="1FB4323D" w14:textId="77777777" w:rsidTr="00B42C53">
        <w:trPr>
          <w:trHeight w:val="255"/>
          <w:jc w:val="center"/>
        </w:trPr>
        <w:tc>
          <w:tcPr>
            <w:tcW w:w="6304" w:type="dxa"/>
            <w:shd w:val="clear" w:color="auto" w:fill="E7E6E6" w:themeFill="background2"/>
            <w:noWrap/>
            <w:tcMar>
              <w:top w:w="0" w:type="dxa"/>
              <w:left w:w="108" w:type="dxa"/>
              <w:bottom w:w="0" w:type="dxa"/>
              <w:right w:w="108" w:type="dxa"/>
            </w:tcMar>
            <w:vAlign w:val="bottom"/>
            <w:hideMark/>
          </w:tcPr>
          <w:p w14:paraId="68D26E45" w14:textId="77777777" w:rsidR="002D5386" w:rsidRPr="009C02F2" w:rsidRDefault="002D5386" w:rsidP="002D5386">
            <w:pPr>
              <w:spacing w:after="0" w:line="276" w:lineRule="auto"/>
              <w:rPr>
                <w:rFonts w:ascii="Arial" w:eastAsia="Calibri" w:hAnsi="Arial" w:cs="Arial"/>
                <w:color w:val="000000"/>
              </w:rPr>
            </w:pPr>
          </w:p>
        </w:tc>
        <w:tc>
          <w:tcPr>
            <w:tcW w:w="1980" w:type="dxa"/>
            <w:shd w:val="clear" w:color="auto" w:fill="E7E6E6" w:themeFill="background2"/>
            <w:noWrap/>
            <w:tcMar>
              <w:top w:w="0" w:type="dxa"/>
              <w:left w:w="108" w:type="dxa"/>
              <w:bottom w:w="0" w:type="dxa"/>
              <w:right w:w="108" w:type="dxa"/>
            </w:tcMar>
            <w:vAlign w:val="bottom"/>
            <w:hideMark/>
          </w:tcPr>
          <w:p w14:paraId="6BDD312B" w14:textId="77777777" w:rsidR="002D5386" w:rsidRPr="009C02F2" w:rsidRDefault="002D5386" w:rsidP="002D5386">
            <w:pPr>
              <w:spacing w:after="0" w:line="276" w:lineRule="auto"/>
              <w:rPr>
                <w:rFonts w:ascii="Times New Roman" w:eastAsia="Times New Roman" w:hAnsi="Times New Roman" w:cs="Times New Roman"/>
              </w:rPr>
            </w:pPr>
          </w:p>
        </w:tc>
      </w:tr>
      <w:tr w:rsidR="002D5386" w:rsidRPr="009C02F2" w14:paraId="35E2158C" w14:textId="77777777" w:rsidTr="00B42C53">
        <w:trPr>
          <w:trHeight w:val="263"/>
          <w:jc w:val="center"/>
        </w:trPr>
        <w:tc>
          <w:tcPr>
            <w:tcW w:w="6304" w:type="dxa"/>
            <w:shd w:val="clear" w:color="auto" w:fill="E7E6E6" w:themeFill="background2"/>
            <w:noWrap/>
            <w:tcMar>
              <w:top w:w="0" w:type="dxa"/>
              <w:left w:w="108" w:type="dxa"/>
              <w:bottom w:w="0" w:type="dxa"/>
              <w:right w:w="108" w:type="dxa"/>
            </w:tcMar>
            <w:vAlign w:val="bottom"/>
            <w:hideMark/>
          </w:tcPr>
          <w:p w14:paraId="5EF80C20" w14:textId="77777777" w:rsidR="002D5386" w:rsidRPr="009C02F2" w:rsidRDefault="002D5386" w:rsidP="002D5386">
            <w:pPr>
              <w:spacing w:after="0" w:line="276" w:lineRule="auto"/>
              <w:rPr>
                <w:rFonts w:ascii="Arial" w:eastAsia="Calibri" w:hAnsi="Arial" w:cs="Arial"/>
                <w:b/>
                <w:bCs/>
                <w:color w:val="000000"/>
              </w:rPr>
            </w:pPr>
            <w:r w:rsidRPr="009C02F2">
              <w:rPr>
                <w:rFonts w:ascii="Arial" w:eastAsia="Calibri" w:hAnsi="Arial" w:cs="Arial"/>
                <w:b/>
                <w:bCs/>
                <w:color w:val="000000"/>
              </w:rPr>
              <w:t>Total</w:t>
            </w:r>
            <w:r>
              <w:rPr>
                <w:rFonts w:ascii="Arial" w:eastAsia="Calibri" w:hAnsi="Arial" w:cs="Arial"/>
                <w:b/>
                <w:bCs/>
                <w:color w:val="000000"/>
              </w:rPr>
              <w:t xml:space="preserve"> distributed through WCLTRG as of June 22, 2023</w:t>
            </w:r>
          </w:p>
        </w:tc>
        <w:tc>
          <w:tcPr>
            <w:tcW w:w="1980" w:type="dxa"/>
            <w:shd w:val="clear" w:color="auto" w:fill="E7E6E6" w:themeFill="background2"/>
            <w:noWrap/>
            <w:tcMar>
              <w:top w:w="0" w:type="dxa"/>
              <w:left w:w="108" w:type="dxa"/>
              <w:bottom w:w="0" w:type="dxa"/>
              <w:right w:w="108" w:type="dxa"/>
            </w:tcMar>
            <w:vAlign w:val="bottom"/>
            <w:hideMark/>
          </w:tcPr>
          <w:p w14:paraId="6CF609C7" w14:textId="19232480" w:rsidR="002D5386" w:rsidRPr="009C02F2" w:rsidRDefault="002D5386" w:rsidP="002D5386">
            <w:pPr>
              <w:spacing w:after="0" w:line="276" w:lineRule="auto"/>
              <w:jc w:val="right"/>
              <w:rPr>
                <w:rFonts w:ascii="Arial" w:eastAsia="Calibri" w:hAnsi="Arial" w:cs="Arial"/>
                <w:b/>
                <w:bCs/>
                <w:color w:val="000000"/>
              </w:rPr>
            </w:pPr>
            <w:r>
              <w:rPr>
                <w:rFonts w:eastAsia="Times New Roman"/>
                <w:b/>
                <w:bCs/>
                <w:color w:val="000000"/>
                <w:sz w:val="24"/>
                <w:szCs w:val="24"/>
              </w:rPr>
              <w:t>$332,147.89</w:t>
            </w:r>
          </w:p>
        </w:tc>
      </w:tr>
      <w:tr w:rsidR="002D5386" w:rsidRPr="009C02F2" w14:paraId="70262DB2" w14:textId="77777777" w:rsidTr="00B42C53">
        <w:trPr>
          <w:trHeight w:val="263"/>
          <w:jc w:val="center"/>
        </w:trPr>
        <w:tc>
          <w:tcPr>
            <w:tcW w:w="6304" w:type="dxa"/>
            <w:shd w:val="clear" w:color="auto" w:fill="E7E6E6" w:themeFill="background2"/>
            <w:noWrap/>
            <w:tcMar>
              <w:top w:w="0" w:type="dxa"/>
              <w:left w:w="108" w:type="dxa"/>
              <w:bottom w:w="0" w:type="dxa"/>
              <w:right w:w="108" w:type="dxa"/>
            </w:tcMar>
            <w:vAlign w:val="bottom"/>
          </w:tcPr>
          <w:p w14:paraId="3D61783F" w14:textId="77777777" w:rsidR="002D5386" w:rsidRPr="009C02F2" w:rsidRDefault="002D5386" w:rsidP="002D5386">
            <w:pPr>
              <w:spacing w:after="0" w:line="276" w:lineRule="auto"/>
              <w:rPr>
                <w:rFonts w:ascii="Arial" w:eastAsia="Calibri" w:hAnsi="Arial" w:cs="Arial"/>
                <w:b/>
                <w:bCs/>
                <w:color w:val="000000"/>
              </w:rPr>
            </w:pPr>
            <w:r>
              <w:rPr>
                <w:rFonts w:ascii="Arial" w:eastAsia="Calibri" w:hAnsi="Arial" w:cs="Arial"/>
                <w:b/>
                <w:bCs/>
                <w:color w:val="000000"/>
              </w:rPr>
              <w:t>Total distributed by funders prior to WCLTRG formation</w:t>
            </w:r>
          </w:p>
        </w:tc>
        <w:tc>
          <w:tcPr>
            <w:tcW w:w="1980" w:type="dxa"/>
            <w:shd w:val="clear" w:color="auto" w:fill="E7E6E6" w:themeFill="background2"/>
            <w:noWrap/>
            <w:tcMar>
              <w:top w:w="0" w:type="dxa"/>
              <w:left w:w="108" w:type="dxa"/>
              <w:bottom w:w="0" w:type="dxa"/>
              <w:right w:w="108" w:type="dxa"/>
            </w:tcMar>
            <w:vAlign w:val="bottom"/>
          </w:tcPr>
          <w:p w14:paraId="5F4EE14D" w14:textId="77777777" w:rsidR="002D5386" w:rsidRPr="009C02F2" w:rsidRDefault="002D5386" w:rsidP="002D5386">
            <w:pPr>
              <w:spacing w:after="0" w:line="276" w:lineRule="auto"/>
              <w:jc w:val="right"/>
              <w:rPr>
                <w:rFonts w:ascii="Arial" w:eastAsia="Calibri" w:hAnsi="Arial" w:cs="Arial"/>
                <w:b/>
                <w:bCs/>
                <w:color w:val="000000"/>
              </w:rPr>
            </w:pPr>
            <w:r>
              <w:rPr>
                <w:rFonts w:ascii="Arial" w:eastAsia="Calibri" w:hAnsi="Arial" w:cs="Arial"/>
                <w:b/>
                <w:bCs/>
                <w:color w:val="000000"/>
              </w:rPr>
              <w:t>$200,920.00</w:t>
            </w:r>
          </w:p>
        </w:tc>
      </w:tr>
      <w:tr w:rsidR="002D5386" w:rsidRPr="009C02F2" w14:paraId="534A0247" w14:textId="77777777" w:rsidTr="00B42C53">
        <w:trPr>
          <w:trHeight w:val="263"/>
          <w:jc w:val="center"/>
        </w:trPr>
        <w:tc>
          <w:tcPr>
            <w:tcW w:w="6304" w:type="dxa"/>
            <w:shd w:val="clear" w:color="auto" w:fill="E7E6E6" w:themeFill="background2"/>
            <w:noWrap/>
            <w:tcMar>
              <w:top w:w="0" w:type="dxa"/>
              <w:left w:w="108" w:type="dxa"/>
              <w:bottom w:w="0" w:type="dxa"/>
              <w:right w:w="108" w:type="dxa"/>
            </w:tcMar>
            <w:vAlign w:val="bottom"/>
          </w:tcPr>
          <w:p w14:paraId="03B406FF" w14:textId="77777777" w:rsidR="002D5386" w:rsidRDefault="002D5386" w:rsidP="002D5386">
            <w:pPr>
              <w:spacing w:after="0" w:line="276" w:lineRule="auto"/>
              <w:rPr>
                <w:rFonts w:ascii="Arial" w:eastAsia="Calibri" w:hAnsi="Arial" w:cs="Arial"/>
                <w:b/>
                <w:bCs/>
                <w:color w:val="000000"/>
              </w:rPr>
            </w:pPr>
            <w:r>
              <w:rPr>
                <w:rFonts w:ascii="Arial" w:eastAsia="Calibri" w:hAnsi="Arial" w:cs="Arial"/>
                <w:b/>
                <w:bCs/>
                <w:color w:val="000000"/>
              </w:rPr>
              <w:t>Total distributed to survivors by the funders</w:t>
            </w:r>
          </w:p>
        </w:tc>
        <w:tc>
          <w:tcPr>
            <w:tcW w:w="1980" w:type="dxa"/>
            <w:shd w:val="clear" w:color="auto" w:fill="E7E6E6" w:themeFill="background2"/>
            <w:noWrap/>
            <w:tcMar>
              <w:top w:w="0" w:type="dxa"/>
              <w:left w:w="108" w:type="dxa"/>
              <w:bottom w:w="0" w:type="dxa"/>
              <w:right w:w="108" w:type="dxa"/>
            </w:tcMar>
            <w:vAlign w:val="bottom"/>
          </w:tcPr>
          <w:p w14:paraId="2C7D0588" w14:textId="13B55359" w:rsidR="002D5386" w:rsidRDefault="002D5386" w:rsidP="002D5386">
            <w:pPr>
              <w:spacing w:after="0" w:line="276" w:lineRule="auto"/>
              <w:jc w:val="right"/>
              <w:rPr>
                <w:rFonts w:ascii="Arial" w:eastAsia="Calibri" w:hAnsi="Arial" w:cs="Arial"/>
                <w:b/>
                <w:bCs/>
                <w:color w:val="000000"/>
              </w:rPr>
            </w:pPr>
            <w:r>
              <w:rPr>
                <w:rFonts w:ascii="Arial" w:eastAsia="Calibri" w:hAnsi="Arial" w:cs="Arial"/>
                <w:b/>
                <w:bCs/>
                <w:color w:val="000000"/>
              </w:rPr>
              <w:t>$533,067.89</w:t>
            </w:r>
          </w:p>
        </w:tc>
      </w:tr>
    </w:tbl>
    <w:p w14:paraId="796EA9E1" w14:textId="77777777" w:rsidR="002D5386" w:rsidRDefault="002D5386" w:rsidP="002D5386">
      <w:pPr>
        <w:spacing w:after="0" w:line="480" w:lineRule="auto"/>
        <w:rPr>
          <w:rFonts w:ascii="Times New Roman" w:hAnsi="Times New Roman" w:cs="Times New Roman"/>
          <w:sz w:val="24"/>
          <w:szCs w:val="24"/>
        </w:rPr>
      </w:pPr>
    </w:p>
    <w:p w14:paraId="257805DD" w14:textId="7E8DD0DE" w:rsidR="002D5386" w:rsidRPr="00800B9A" w:rsidRDefault="002D5386" w:rsidP="002D5386">
      <w:pPr>
        <w:spacing w:after="0" w:line="480" w:lineRule="auto"/>
        <w:rPr>
          <w:rFonts w:ascii="Times New Roman" w:hAnsi="Times New Roman" w:cs="Times New Roman"/>
          <w:sz w:val="24"/>
          <w:szCs w:val="24"/>
        </w:rPr>
      </w:pPr>
      <w:r w:rsidRPr="00800B9A">
        <w:rPr>
          <w:rFonts w:ascii="Times New Roman" w:hAnsi="Times New Roman" w:cs="Times New Roman"/>
          <w:sz w:val="24"/>
          <w:szCs w:val="24"/>
        </w:rPr>
        <w:t xml:space="preserve">The following case management update was provided by UMCOR on </w:t>
      </w:r>
      <w:r>
        <w:rPr>
          <w:rFonts w:ascii="Times New Roman" w:hAnsi="Times New Roman" w:cs="Times New Roman"/>
          <w:sz w:val="24"/>
          <w:szCs w:val="24"/>
        </w:rPr>
        <w:t>July 25, 2023</w:t>
      </w:r>
      <w:r w:rsidRPr="00800B9A">
        <w:rPr>
          <w:rFonts w:ascii="Times New Roman" w:hAnsi="Times New Roman" w:cs="Times New Roman"/>
          <w:sz w:val="24"/>
          <w:szCs w:val="24"/>
        </w:rPr>
        <w:t>:</w:t>
      </w:r>
    </w:p>
    <w:tbl>
      <w:tblPr>
        <w:tblStyle w:val="TableGrid"/>
        <w:tblW w:w="0" w:type="auto"/>
        <w:tblInd w:w="535" w:type="dxa"/>
        <w:tblLook w:val="04A0" w:firstRow="1" w:lastRow="0" w:firstColumn="1" w:lastColumn="0" w:noHBand="0" w:noVBand="1"/>
      </w:tblPr>
      <w:tblGrid>
        <w:gridCol w:w="6194"/>
        <w:gridCol w:w="2070"/>
      </w:tblGrid>
      <w:tr w:rsidR="002D5386" w:rsidRPr="00800B9A" w14:paraId="053AFFC0" w14:textId="77777777" w:rsidTr="00B42C53">
        <w:trPr>
          <w:trHeight w:val="475"/>
        </w:trPr>
        <w:tc>
          <w:tcPr>
            <w:tcW w:w="6194" w:type="dxa"/>
            <w:shd w:val="clear" w:color="auto" w:fill="E7E6E6" w:themeFill="background2"/>
          </w:tcPr>
          <w:p w14:paraId="0885C322" w14:textId="77777777" w:rsidR="002D5386" w:rsidRPr="00800B9A" w:rsidRDefault="002D5386" w:rsidP="00B42C53">
            <w:pPr>
              <w:tabs>
                <w:tab w:val="left" w:pos="1320"/>
              </w:tabs>
              <w:spacing w:line="480" w:lineRule="auto"/>
              <w:rPr>
                <w:rFonts w:ascii="Times New Roman" w:hAnsi="Times New Roman" w:cs="Times New Roman"/>
                <w:sz w:val="24"/>
                <w:szCs w:val="24"/>
              </w:rPr>
            </w:pPr>
            <w:r>
              <w:rPr>
                <w:rFonts w:ascii="Times New Roman" w:hAnsi="Times New Roman" w:cs="Times New Roman"/>
                <w:sz w:val="24"/>
                <w:szCs w:val="24"/>
              </w:rPr>
              <w:t>Open Cases</w:t>
            </w:r>
          </w:p>
        </w:tc>
        <w:tc>
          <w:tcPr>
            <w:tcW w:w="2070" w:type="dxa"/>
            <w:shd w:val="clear" w:color="auto" w:fill="E7E6E6" w:themeFill="background2"/>
          </w:tcPr>
          <w:p w14:paraId="0E9BACA5" w14:textId="166A3EA3" w:rsidR="002D5386" w:rsidRPr="00800B9A" w:rsidRDefault="002D5386" w:rsidP="00B42C53">
            <w:pPr>
              <w:spacing w:line="48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2D5386" w:rsidRPr="00800B9A" w14:paraId="34B5BF1E" w14:textId="77777777" w:rsidTr="00B42C53">
        <w:trPr>
          <w:trHeight w:val="479"/>
        </w:trPr>
        <w:tc>
          <w:tcPr>
            <w:tcW w:w="6194" w:type="dxa"/>
            <w:shd w:val="clear" w:color="auto" w:fill="E7E6E6" w:themeFill="background2"/>
          </w:tcPr>
          <w:p w14:paraId="43721901" w14:textId="77777777" w:rsidR="002D5386" w:rsidRPr="00800B9A" w:rsidRDefault="002D5386" w:rsidP="00B42C53">
            <w:pPr>
              <w:spacing w:line="480" w:lineRule="auto"/>
              <w:rPr>
                <w:rFonts w:ascii="Times New Roman" w:hAnsi="Times New Roman" w:cs="Times New Roman"/>
                <w:sz w:val="24"/>
                <w:szCs w:val="24"/>
              </w:rPr>
            </w:pPr>
            <w:r w:rsidRPr="00800B9A">
              <w:rPr>
                <w:rFonts w:ascii="Times New Roman" w:hAnsi="Times New Roman" w:cs="Times New Roman"/>
                <w:sz w:val="24"/>
                <w:szCs w:val="24"/>
              </w:rPr>
              <w:lastRenderedPageBreak/>
              <w:t>Closed Cases</w:t>
            </w:r>
          </w:p>
        </w:tc>
        <w:tc>
          <w:tcPr>
            <w:tcW w:w="2070" w:type="dxa"/>
            <w:shd w:val="clear" w:color="auto" w:fill="E7E6E6" w:themeFill="background2"/>
          </w:tcPr>
          <w:p w14:paraId="0B36144F" w14:textId="168EEFFE" w:rsidR="002D5386" w:rsidRDefault="002D5386" w:rsidP="00B42C53">
            <w:pPr>
              <w:spacing w:line="48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2D5386" w:rsidRPr="00800B9A" w14:paraId="5AF971B9" w14:textId="77777777" w:rsidTr="00B42C53">
        <w:trPr>
          <w:trHeight w:val="475"/>
        </w:trPr>
        <w:tc>
          <w:tcPr>
            <w:tcW w:w="6194" w:type="dxa"/>
            <w:shd w:val="clear" w:color="auto" w:fill="E7E6E6" w:themeFill="background2"/>
          </w:tcPr>
          <w:p w14:paraId="3B71A004" w14:textId="77777777" w:rsidR="002D5386" w:rsidRPr="00800B9A" w:rsidRDefault="002D5386" w:rsidP="00B42C53">
            <w:pPr>
              <w:spacing w:line="480" w:lineRule="auto"/>
              <w:rPr>
                <w:rFonts w:ascii="Times New Roman" w:hAnsi="Times New Roman" w:cs="Times New Roman"/>
                <w:sz w:val="24"/>
                <w:szCs w:val="24"/>
              </w:rPr>
            </w:pPr>
            <w:r w:rsidRPr="00800B9A">
              <w:rPr>
                <w:rFonts w:ascii="Times New Roman" w:hAnsi="Times New Roman" w:cs="Times New Roman"/>
                <w:sz w:val="24"/>
                <w:szCs w:val="24"/>
              </w:rPr>
              <w:t>Awaiting Assignment to Case Manager</w:t>
            </w:r>
          </w:p>
        </w:tc>
        <w:tc>
          <w:tcPr>
            <w:tcW w:w="2070" w:type="dxa"/>
            <w:shd w:val="clear" w:color="auto" w:fill="E7E6E6" w:themeFill="background2"/>
          </w:tcPr>
          <w:p w14:paraId="11148330" w14:textId="77777777" w:rsidR="002D5386" w:rsidRPr="00800B9A" w:rsidRDefault="002D5386" w:rsidP="00B42C53">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D5386" w:rsidRPr="00800B9A" w14:paraId="5F2EDB98" w14:textId="77777777" w:rsidTr="00B42C53">
        <w:trPr>
          <w:trHeight w:val="479"/>
        </w:trPr>
        <w:tc>
          <w:tcPr>
            <w:tcW w:w="6194" w:type="dxa"/>
            <w:shd w:val="clear" w:color="auto" w:fill="E7E6E6" w:themeFill="background2"/>
          </w:tcPr>
          <w:p w14:paraId="2E8CA345" w14:textId="77777777" w:rsidR="002D5386" w:rsidRPr="00800B9A" w:rsidRDefault="002D5386" w:rsidP="00B42C53">
            <w:pPr>
              <w:spacing w:line="480" w:lineRule="auto"/>
              <w:rPr>
                <w:rFonts w:ascii="Times New Roman" w:hAnsi="Times New Roman" w:cs="Times New Roman"/>
                <w:sz w:val="24"/>
                <w:szCs w:val="24"/>
              </w:rPr>
            </w:pPr>
            <w:r>
              <w:rPr>
                <w:rFonts w:ascii="Times New Roman" w:hAnsi="Times New Roman" w:cs="Times New Roman"/>
                <w:sz w:val="24"/>
                <w:szCs w:val="24"/>
              </w:rPr>
              <w:t>Repair and Rebuild projects in progress</w:t>
            </w:r>
          </w:p>
        </w:tc>
        <w:tc>
          <w:tcPr>
            <w:tcW w:w="2070" w:type="dxa"/>
            <w:shd w:val="clear" w:color="auto" w:fill="E7E6E6" w:themeFill="background2"/>
          </w:tcPr>
          <w:p w14:paraId="64605878" w14:textId="77777777" w:rsidR="002D5386" w:rsidRPr="00800B9A" w:rsidRDefault="002D5386" w:rsidP="00B42C53">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r>
    </w:tbl>
    <w:p w14:paraId="63069F74" w14:textId="77777777" w:rsidR="0028069B" w:rsidRDefault="0028069B" w:rsidP="002D5386">
      <w:pPr>
        <w:pStyle w:val="paragraph"/>
        <w:spacing w:before="0" w:beforeAutospacing="0" w:after="0" w:afterAutospacing="0" w:line="480" w:lineRule="auto"/>
        <w:ind w:firstLine="720"/>
        <w:contextualSpacing/>
        <w:textAlignment w:val="baseline"/>
        <w:rPr>
          <w:color w:val="000000" w:themeColor="text1"/>
        </w:rPr>
      </w:pPr>
    </w:p>
    <w:p w14:paraId="3B0F009C" w14:textId="77777777" w:rsidR="0028069B" w:rsidRDefault="0028069B" w:rsidP="002D5386">
      <w:pPr>
        <w:pStyle w:val="paragraph"/>
        <w:spacing w:before="0" w:beforeAutospacing="0" w:after="0" w:afterAutospacing="0" w:line="480" w:lineRule="auto"/>
        <w:ind w:firstLine="720"/>
        <w:contextualSpacing/>
        <w:textAlignment w:val="baseline"/>
        <w:rPr>
          <w:color w:val="000000" w:themeColor="text1"/>
        </w:rPr>
      </w:pPr>
    </w:p>
    <w:p w14:paraId="37DC8FFA" w14:textId="4CD82D61" w:rsidR="00A638E5" w:rsidRDefault="00A638E5" w:rsidP="002D5386">
      <w:pPr>
        <w:pStyle w:val="paragraph"/>
        <w:spacing w:before="0" w:beforeAutospacing="0" w:after="0" w:afterAutospacing="0" w:line="480" w:lineRule="auto"/>
        <w:ind w:firstLine="720"/>
        <w:contextualSpacing/>
        <w:textAlignment w:val="baseline"/>
        <w:rPr>
          <w:color w:val="000000" w:themeColor="text1"/>
        </w:rPr>
      </w:pPr>
      <w:r>
        <w:rPr>
          <w:rStyle w:val="x193iq5w"/>
        </w:rPr>
        <w:t xml:space="preserve">Volunteer groups from Carlisle, Pennsylvania, and from the </w:t>
      </w:r>
      <w:proofErr w:type="spellStart"/>
      <w:r>
        <w:rPr>
          <w:rStyle w:val="x193iq5w"/>
        </w:rPr>
        <w:t>Kingswood</w:t>
      </w:r>
      <w:proofErr w:type="spellEnd"/>
      <w:r>
        <w:rPr>
          <w:rStyle w:val="x193iq5w"/>
        </w:rPr>
        <w:t xml:space="preserve"> United Methodist Church in the greater Chicago metropolitan area have contributed labor to construction projects on behalf of survivors. Over 800 hours of volunteer labor were provided by these two groups. </w:t>
      </w:r>
    </w:p>
    <w:p w14:paraId="7A0BF95C" w14:textId="0489F89E" w:rsidR="002D5386" w:rsidRPr="003843B0" w:rsidRDefault="002D5386" w:rsidP="002D5386">
      <w:pPr>
        <w:pStyle w:val="paragraph"/>
        <w:spacing w:before="0" w:beforeAutospacing="0" w:after="0" w:afterAutospacing="0" w:line="480" w:lineRule="auto"/>
        <w:ind w:firstLine="720"/>
        <w:contextualSpacing/>
        <w:textAlignment w:val="baseline"/>
        <w:rPr>
          <w:color w:val="000000" w:themeColor="text1"/>
        </w:rPr>
      </w:pPr>
      <w:r w:rsidRPr="00800B9A">
        <w:rPr>
          <w:color w:val="000000" w:themeColor="text1"/>
        </w:rPr>
        <w:t xml:space="preserve">The </w:t>
      </w:r>
      <w:r w:rsidR="00A638E5">
        <w:rPr>
          <w:color w:val="000000" w:themeColor="text1"/>
        </w:rPr>
        <w:t xml:space="preserve">Tornado </w:t>
      </w:r>
      <w:r w:rsidRPr="00800B9A">
        <w:rPr>
          <w:color w:val="000000" w:themeColor="text1"/>
        </w:rPr>
        <w:t>Recovery Center is open Tuesdays and Thursday</w:t>
      </w:r>
      <w:r>
        <w:rPr>
          <w:color w:val="000000" w:themeColor="text1"/>
        </w:rPr>
        <w:t>s</w:t>
      </w:r>
      <w:r w:rsidRPr="00800B9A">
        <w:rPr>
          <w:color w:val="000000" w:themeColor="text1"/>
        </w:rPr>
        <w:t xml:space="preserve"> from 10 a.m. to 4 p.m. to support survivors locally. The center </w:t>
      </w:r>
      <w:r>
        <w:rPr>
          <w:color w:val="000000" w:themeColor="text1"/>
        </w:rPr>
        <w:t xml:space="preserve">is currently staffed by the Program Coordinator and </w:t>
      </w:r>
      <w:r w:rsidRPr="00800B9A">
        <w:rPr>
          <w:color w:val="000000" w:themeColor="text1"/>
        </w:rPr>
        <w:t xml:space="preserve">two case managers. Walk-ins are welcome or you can contact the center by calling </w:t>
      </w:r>
      <w:r>
        <w:rPr>
          <w:color w:val="000000" w:themeColor="text1"/>
        </w:rPr>
        <w:t xml:space="preserve">(731) </w:t>
      </w:r>
      <w:r w:rsidRPr="00800B9A">
        <w:rPr>
          <w:color w:val="000000" w:themeColor="text1"/>
        </w:rPr>
        <w:t xml:space="preserve">699-7913. </w:t>
      </w:r>
      <w:r>
        <w:rPr>
          <w:color w:val="000000" w:themeColor="text1"/>
        </w:rPr>
        <w:t xml:space="preserve">Please visit </w:t>
      </w:r>
      <w:hyperlink r:id="rId8" w:history="1">
        <w:r w:rsidRPr="00D9463B">
          <w:rPr>
            <w:rStyle w:val="Hyperlink"/>
          </w:rPr>
          <w:t>www.rebuildweakley.com</w:t>
        </w:r>
      </w:hyperlink>
      <w:r>
        <w:rPr>
          <w:color w:val="000000" w:themeColor="text1"/>
        </w:rPr>
        <w:t xml:space="preserve"> and </w:t>
      </w:r>
      <w:hyperlink r:id="rId9" w:history="1">
        <w:r w:rsidRPr="00F03CDB">
          <w:rPr>
            <w:rStyle w:val="Hyperlink"/>
          </w:rPr>
          <w:t>https://www.facebook.com/WCLTRG</w:t>
        </w:r>
      </w:hyperlink>
      <w:r>
        <w:rPr>
          <w:color w:val="000000" w:themeColor="text1"/>
        </w:rPr>
        <w:t xml:space="preserve"> for more information regarding disaster recovery in Weakley County. </w:t>
      </w:r>
    </w:p>
    <w:p w14:paraId="59248514" w14:textId="77777777" w:rsidR="00B00305" w:rsidRDefault="00B00305"/>
    <w:sectPr w:rsidR="00B00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OldSty">
    <w:altName w:val="Goudy Old Style"/>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45F31"/>
    <w:multiLevelType w:val="multilevel"/>
    <w:tmpl w:val="5FF2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14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86"/>
    <w:rsid w:val="0028069B"/>
    <w:rsid w:val="002D5386"/>
    <w:rsid w:val="00493807"/>
    <w:rsid w:val="006550E9"/>
    <w:rsid w:val="00696C60"/>
    <w:rsid w:val="006E13FC"/>
    <w:rsid w:val="00910252"/>
    <w:rsid w:val="00A638E5"/>
    <w:rsid w:val="00A95BF1"/>
    <w:rsid w:val="00B00305"/>
    <w:rsid w:val="00B31BBB"/>
    <w:rsid w:val="00C36B1C"/>
    <w:rsid w:val="00E23BF3"/>
    <w:rsid w:val="00E74F80"/>
    <w:rsid w:val="00E9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27CF"/>
  <w15:chartTrackingRefBased/>
  <w15:docId w15:val="{4670EACB-3046-4751-83A1-BDF14FBF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8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D538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D53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5386"/>
    <w:rPr>
      <w:color w:val="0563C1" w:themeColor="hyperlink"/>
      <w:u w:val="single"/>
    </w:rPr>
  </w:style>
  <w:style w:type="character" w:styleId="UnresolvedMention">
    <w:name w:val="Unresolved Mention"/>
    <w:basedOn w:val="DefaultParagraphFont"/>
    <w:uiPriority w:val="99"/>
    <w:semiHidden/>
    <w:unhideWhenUsed/>
    <w:rsid w:val="00C36B1C"/>
    <w:rPr>
      <w:color w:val="605E5C"/>
      <w:shd w:val="clear" w:color="auto" w:fill="E1DFDD"/>
    </w:rPr>
  </w:style>
  <w:style w:type="paragraph" w:styleId="Revision">
    <w:name w:val="Revision"/>
    <w:hidden/>
    <w:uiPriority w:val="99"/>
    <w:semiHidden/>
    <w:rsid w:val="00E23BF3"/>
    <w:pPr>
      <w:spacing w:after="0" w:line="240" w:lineRule="auto"/>
    </w:pPr>
    <w:rPr>
      <w:kern w:val="0"/>
      <w14:ligatures w14:val="none"/>
    </w:rPr>
  </w:style>
  <w:style w:type="character" w:customStyle="1" w:styleId="x193iq5w">
    <w:name w:val="x193iq5w"/>
    <w:basedOn w:val="DefaultParagraphFont"/>
    <w:rsid w:val="00A63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29887">
      <w:bodyDiv w:val="1"/>
      <w:marLeft w:val="0"/>
      <w:marRight w:val="0"/>
      <w:marTop w:val="0"/>
      <w:marBottom w:val="0"/>
      <w:divBdr>
        <w:top w:val="none" w:sz="0" w:space="0" w:color="auto"/>
        <w:left w:val="none" w:sz="0" w:space="0" w:color="auto"/>
        <w:bottom w:val="none" w:sz="0" w:space="0" w:color="auto"/>
        <w:right w:val="none" w:sz="0" w:space="0" w:color="auto"/>
      </w:divBdr>
      <w:divsChild>
        <w:div w:id="1025445202">
          <w:marLeft w:val="0"/>
          <w:marRight w:val="0"/>
          <w:marTop w:val="0"/>
          <w:marBottom w:val="0"/>
          <w:divBdr>
            <w:top w:val="none" w:sz="0" w:space="0" w:color="auto"/>
            <w:left w:val="none" w:sz="0" w:space="0" w:color="auto"/>
            <w:bottom w:val="none" w:sz="0" w:space="0" w:color="auto"/>
            <w:right w:val="none" w:sz="0" w:space="0" w:color="auto"/>
          </w:divBdr>
          <w:divsChild>
            <w:div w:id="6970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96384">
      <w:bodyDiv w:val="1"/>
      <w:marLeft w:val="0"/>
      <w:marRight w:val="0"/>
      <w:marTop w:val="0"/>
      <w:marBottom w:val="0"/>
      <w:divBdr>
        <w:top w:val="none" w:sz="0" w:space="0" w:color="auto"/>
        <w:left w:val="none" w:sz="0" w:space="0" w:color="auto"/>
        <w:bottom w:val="none" w:sz="0" w:space="0" w:color="auto"/>
        <w:right w:val="none" w:sz="0" w:space="0" w:color="auto"/>
      </w:divBdr>
      <w:divsChild>
        <w:div w:id="1483422263">
          <w:marLeft w:val="0"/>
          <w:marRight w:val="0"/>
          <w:marTop w:val="0"/>
          <w:marBottom w:val="0"/>
          <w:divBdr>
            <w:top w:val="none" w:sz="0" w:space="0" w:color="auto"/>
            <w:left w:val="none" w:sz="0" w:space="0" w:color="auto"/>
            <w:bottom w:val="none" w:sz="0" w:space="0" w:color="auto"/>
            <w:right w:val="none" w:sz="0" w:space="0" w:color="auto"/>
          </w:divBdr>
          <w:divsChild>
            <w:div w:id="3458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buildweakley.com" TargetMode="External"/><Relationship Id="rId3" Type="http://schemas.openxmlformats.org/officeDocument/2006/relationships/settings" Target="settings.xml"/><Relationship Id="rId7" Type="http://schemas.openxmlformats.org/officeDocument/2006/relationships/hyperlink" Target="mailto:weakleypc@untedway.t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vents/740289417898397" TargetMode="External"/><Relationship Id="rId11" Type="http://schemas.openxmlformats.org/officeDocument/2006/relationships/theme" Target="theme/theme1.xml"/><Relationship Id="rId5" Type="http://schemas.openxmlformats.org/officeDocument/2006/relationships/hyperlink" Target="https://l.facebook.com/l.php?u=http%3A%2F%2Fredcross.org%2F2021tornadoes-help%3Ffbclid%3DIwAR3rweyEugWxxLsK4k2T0HQNZX_DtAz2mBvw6FjRAZKnmLC9qqAh_4PrTFs&amp;h=AT04CnSF80sVz_H4lLdnW4hpKjGoHwu1R--l0JUUlRxWK2ROh6xTgTKveUydxYtmPtnA3I-tFLMhJFC0bRnI4Oo_8oe9n1LY1reLhpIJ3R24SImbTASMAwE5r7tGHYVa68Kc&amp;__tn__=-UK-R&amp;c%5b0%5d=AT1HPJE-S21R8ssp-CpS2uk1IEICQkt4b3dOyDpMzcpWDlTxIxkV20kPAO1_l_D2CwIKsVUpn_b9QhsKDSBpGmGRmA5m5_Ldrg_mQRqL5jmoFeOTiXwxtyU_yMhxgl-6P79_zHxunRcS41bL6ejlRgBFkBizbdmiEej4l31yZ4R2K_PKX6g9lC5ROCwdXxURDTuHZ7yG8Pl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WCLT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Weakley PC</dc:creator>
  <cp:keywords/>
  <dc:description/>
  <cp:lastModifiedBy>Weakley PC</cp:lastModifiedBy>
  <cp:revision>2</cp:revision>
  <dcterms:created xsi:type="dcterms:W3CDTF">2023-07-28T19:41:00Z</dcterms:created>
  <dcterms:modified xsi:type="dcterms:W3CDTF">2023-07-28T19:41:00Z</dcterms:modified>
</cp:coreProperties>
</file>